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4082F07" w:rsidR="00093CA9" w:rsidRDefault="005529F0" w:rsidP="00093CA9">
            <w:r w:rsidRPr="005529F0">
              <w:t>ENS Africa</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82B4DF5" w:rsidR="00093CA9" w:rsidRDefault="005529F0" w:rsidP="00093CA9">
            <w:r>
              <w:t>Rwanda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5442DC99" w:rsidR="00093CA9" w:rsidRDefault="00EB7D3B" w:rsidP="00093CA9">
            <w:r w:rsidRPr="00EB7D3B">
              <w:t xml:space="preserve">Guidelines N° 2600/2023 - 00036 [616] Of 29/11/2023 On Climate-Related and Environmental Financial Risks Management for Financial Institutions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A7599C3" w:rsidR="00093CA9" w:rsidRDefault="00575011" w:rsidP="00093CA9">
            <w:hyperlink r:id="rId17" w:history="1">
              <w:r w:rsidRPr="00483A6E">
                <w:rPr>
                  <w:rStyle w:val="Hyperlink"/>
                </w:rPr>
                <w:t>https://web.archive.org/save/https://www.bnr.rw/documents/Regulatory_framework_-_A_document_of_guidelines.pdf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671FAFCF" w:rsidR="00093CA9" w:rsidRDefault="007C6CA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5A880B9" w:rsidR="00093CA9" w:rsidRDefault="007C6CA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18A68B4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C5F21F4" w:rsidR="00093CA9" w:rsidRDefault="007C6CAD"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27E3409C" w14:textId="62AB7D67" w:rsidR="00352FDF" w:rsidRDefault="00352FDF" w:rsidP="00D43A7B">
            <w:pPr>
              <w:pStyle w:val="ListParagraph"/>
              <w:numPr>
                <w:ilvl w:val="0"/>
                <w:numId w:val="49"/>
              </w:numPr>
              <w:jc w:val="both"/>
            </w:pPr>
            <w:r>
              <w:t xml:space="preserve">It aims at providing guidance to financial institutions on the components of climate related and environmental financial risks. It sets out principles that guide financial institutions to manage and mitigate climate related and environmental financial risks through the entire risk management cycle and provide the guidance on disclosure of climate related and environmental financial risks. </w:t>
            </w:r>
          </w:p>
          <w:p w14:paraId="77633D48" w14:textId="60B20128" w:rsidR="00093CA9" w:rsidRDefault="00D43A7B" w:rsidP="00D43A7B">
            <w:pPr>
              <w:pStyle w:val="ListParagraph"/>
              <w:numPr>
                <w:ilvl w:val="0"/>
                <w:numId w:val="49"/>
              </w:numPr>
              <w:jc w:val="both"/>
            </w:pPr>
            <w:r>
              <w:t>This policy tool r</w:t>
            </w:r>
            <w:r w:rsidRPr="00D43A7B">
              <w:t>equire</w:t>
            </w:r>
            <w:r>
              <w:t>s</w:t>
            </w:r>
            <w:r w:rsidRPr="00D43A7B">
              <w:t xml:space="preserve"> all financial institutions to provide comprehensive, transparent, and regular disclosures on their exposure to climate-related and environmental financial risks.</w:t>
            </w:r>
            <w:r>
              <w:t xml:space="preserve"> </w:t>
            </w:r>
            <w:r w:rsidRPr="00D43A7B">
              <w:t>These disclosures must align with international standards, specifically the TCFD recommendations and IFRS S1 and S2, and cover governance structures, risk management processes, strategy integration, and the use of metrics and targets</w:t>
            </w:r>
            <w:r>
              <w:t>.</w:t>
            </w:r>
          </w:p>
          <w:p w14:paraId="491685B6" w14:textId="77777777" w:rsidR="00D43A7B" w:rsidRDefault="00D43A7B" w:rsidP="00D43A7B">
            <w:pPr>
              <w:pStyle w:val="ListParagraph"/>
              <w:numPr>
                <w:ilvl w:val="0"/>
                <w:numId w:val="49"/>
              </w:numPr>
              <w:jc w:val="both"/>
            </w:pPr>
            <w:r>
              <w:t>It indicates that f</w:t>
            </w:r>
            <w:r w:rsidRPr="00D43A7B">
              <w:t>inancial institutions in Rwanda are mandated to develop, disclose, and implement credible transition plans that support the shift towards a low-carbon and climate-resilient economy, in line with both national and international commitments</w:t>
            </w:r>
            <w:r>
              <w:t>.</w:t>
            </w:r>
          </w:p>
          <w:p w14:paraId="18257824" w14:textId="52CF7CFA" w:rsidR="00D43A7B" w:rsidRDefault="001E5744" w:rsidP="00D43A7B">
            <w:pPr>
              <w:pStyle w:val="ListParagraph"/>
              <w:numPr>
                <w:ilvl w:val="0"/>
                <w:numId w:val="49"/>
              </w:numPr>
              <w:jc w:val="both"/>
            </w:pPr>
            <w:r w:rsidRPr="001E5744">
              <w:t xml:space="preserve">The </w:t>
            </w:r>
            <w:r>
              <w:t xml:space="preserve">tool </w:t>
            </w:r>
            <w:r w:rsidRPr="001E5744">
              <w:t>establish a robust prudential framework that obliges financial institutions to integrate climate-related and environmental risks into all traditional risk categories, including credit, market, liquidity, operational, strategic, insurance/underwriting, concentration, and reputational risks. Governance is central, with the board of directors responsible for oversight and strategic integration, and senior management tasked with developing and implementing risk management frameworks, policies, and controls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8F86444" w:rsidR="00093CA9" w:rsidRDefault="001C101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38AE8CCE" w:rsidR="00093CA9" w:rsidRDefault="001C1017" w:rsidP="00093CA9">
            <w:r>
              <w:t xml:space="preserve">This policy was modified (on some articles) by </w:t>
            </w:r>
            <w:r w:rsidRPr="005529F0">
              <w:t>Guidelines N° 040/2024 Of 25/11/2024 On The Disclosure and Reporting of Sustainability-Related Financial Information For Financial Institutions</w:t>
            </w:r>
            <w:r>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213E17C7" w:rsidR="00093CA9" w:rsidRPr="00173D7C" w:rsidRDefault="0075011B" w:rsidP="00093CA9">
            <w:pPr>
              <w:rPr>
                <w:color w:val="000000" w:themeColor="text1"/>
              </w:rPr>
            </w:pPr>
            <w:r>
              <w:rPr>
                <w:color w:val="000000" w:themeColor="text1"/>
              </w:rPr>
              <w:t>29</w:t>
            </w:r>
            <w:r w:rsidRPr="0075011B">
              <w:rPr>
                <w:color w:val="000000" w:themeColor="text1"/>
                <w:vertAlign w:val="superscript"/>
              </w:rPr>
              <w:t>th</w:t>
            </w:r>
            <w:r>
              <w:rPr>
                <w:color w:val="000000" w:themeColor="text1"/>
              </w:rPr>
              <w:t xml:space="preserve"> November 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26CDC181" w:rsidR="00093CA9" w:rsidRPr="00173D7C" w:rsidRDefault="0075011B" w:rsidP="00093CA9">
            <w:pPr>
              <w:rPr>
                <w:color w:val="000000" w:themeColor="text1"/>
              </w:rPr>
            </w:pPr>
            <w:r>
              <w:rPr>
                <w:color w:val="000000" w:themeColor="text1"/>
              </w:rPr>
              <w:t>29</w:t>
            </w:r>
            <w:r w:rsidRPr="0075011B">
              <w:rPr>
                <w:color w:val="000000" w:themeColor="text1"/>
                <w:vertAlign w:val="superscript"/>
              </w:rPr>
              <w:t>th</w:t>
            </w:r>
            <w:r>
              <w:rPr>
                <w:color w:val="000000" w:themeColor="text1"/>
              </w:rPr>
              <w:t xml:space="preserve"> November 2023 </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591E11A5" w:rsidR="00093CA9" w:rsidRPr="00587FAE" w:rsidRDefault="0075011B" w:rsidP="00093CA9">
            <w:pPr>
              <w:rPr>
                <w:color w:val="000000" w:themeColor="text1"/>
              </w:rPr>
            </w:pPr>
            <w:r w:rsidRPr="00F8081B">
              <w:rPr>
                <w:color w:val="000000" w:themeColor="text1"/>
              </w:rPr>
              <w:t>N/A</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0C229574" w:rsidR="00093CA9" w:rsidRPr="007419BF" w:rsidRDefault="0075011B" w:rsidP="00093CA9">
            <w:pPr>
              <w:rPr>
                <w:color w:val="000000" w:themeColor="text1"/>
              </w:rPr>
            </w:pPr>
            <w:r>
              <w:rPr>
                <w:color w:val="000000" w:themeColor="text1"/>
              </w:rPr>
              <w:t>Not relevant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334DD84" w:rsidR="00093CA9" w:rsidRDefault="0075011B" w:rsidP="00093CA9">
            <w:r w:rsidRPr="007F5263">
              <w:t>The National Bank of Rwanda</w:t>
            </w:r>
            <w:r>
              <w:t>, which</w:t>
            </w:r>
            <w:r w:rsidRPr="007F5263">
              <w:t xml:space="preserve"> is responsible</w:t>
            </w:r>
            <w:r>
              <w:t xml:space="preserve"> </w:t>
            </w:r>
            <w:r w:rsidRPr="007F5263">
              <w:t>among othe</w:t>
            </w:r>
            <w:r>
              <w:t>rs</w:t>
            </w:r>
            <w:r w:rsidRPr="007F5263">
              <w:t>, for regulating and supervising financial institutions</w:t>
            </w:r>
            <w:r>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B9B1ADC" w:rsidR="00093CA9" w:rsidRPr="006B7B0D" w:rsidRDefault="0075011B" w:rsidP="00093CA9">
            <w:r w:rsidRPr="007F5263">
              <w:t>The National Bank of Rwanda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62C13DC" w:rsidR="00093CA9" w:rsidRPr="006B7B0D" w:rsidRDefault="0075011B" w:rsidP="00093CA9">
            <w:r w:rsidRPr="006B7B0D">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6ACB884E" w:rsidR="00093CA9" w:rsidRDefault="0075011B" w:rsidP="00093CA9">
            <w:r>
              <w:t>National Bank of Rwanda through its supervisory tools (Off &amp; Onsite supervision) shall ensure the compliance of financial institutions to the provisions of these guidelines. It expressly state that non-compliance with the provisions of these guidelines may lead to supervisory corrective actions. The National Bank of Rwanda further has mandate to oversee the implementation of the roadmap.</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701F819" w:rsidR="00093CA9" w:rsidRDefault="0075011B"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659DD9CA" w:rsidR="00093CA9" w:rsidRPr="008017F9" w:rsidRDefault="001D1172" w:rsidP="00982BBA">
            <w:pPr>
              <w:keepNext/>
              <w:jc w:val="both"/>
              <w:rPr>
                <w:color w:val="000000" w:themeColor="text1"/>
              </w:rPr>
            </w:pPr>
            <w:r>
              <w:rPr>
                <w:color w:val="000000" w:themeColor="text1"/>
              </w:rPr>
              <w:t xml:space="preserve">Article 23 the policy tool, indicate that Central Bank oversees the phased implementation of these guidelines. Furthermore, under article 22 of this policy tool, the </w:t>
            </w:r>
            <w:r w:rsidRPr="00F154EF">
              <w:rPr>
                <w:color w:val="000000" w:themeColor="text1"/>
              </w:rPr>
              <w:t>National Bank of Rwanda through its supervisory tools (Off &amp; Onsite supervision) shall ensure the compliance of financial institutions to the provisions of these guidelines. It expressly state that non-compliance with the provisions of these guidelines may lead to supervisory corrective actions.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2A42270" w:rsidR="00CF5268" w:rsidRDefault="00FA383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4C51982" w:rsidR="004B2D74" w:rsidRDefault="002E0F9A"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2616C8B" w:rsidR="004B2D74" w:rsidRDefault="002E0F9A"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20930FF" w:rsidR="004B2D74" w:rsidRDefault="002E0F9A"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89E6B32" w:rsidR="004B2D74" w:rsidRDefault="002E0F9A"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03A90DB2" w:rsidR="004B2D74" w:rsidRDefault="002E0F9A"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4D0A936F" w:rsidR="004B2D74" w:rsidRDefault="002E0F9A"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44C6BB8B" w:rsidR="00C35794" w:rsidRDefault="002E0F9A" w:rsidP="00DD3144">
            <w:r w:rsidRPr="00C927CA">
              <w:rPr>
                <w:rFonts w:ascii="Calibri" w:hAnsi="Calibri" w:cs="Calibri"/>
              </w:rPr>
              <w:t xml:space="preserve">SACCOs (UMWALIMU SACCO, MUGANGA SACCO, Umurenge SACCOs, and District SACCOs),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88758F5" w:rsidR="00B536E6" w:rsidRDefault="002E0F9A"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4F9F0822" w:rsidR="0039223F" w:rsidRDefault="002E0F9A" w:rsidP="00DD3144">
            <w:r w:rsidRPr="00F22DF1">
              <w:t>The policy tool</w:t>
            </w:r>
            <w:r>
              <w:t xml:space="preserve"> </w:t>
            </w:r>
            <w:r w:rsidRPr="00F22DF1">
              <w:t>is specifically targeted at entities within the "Financial and insurance activities" sector. The targeted entities are defined as follows</w:t>
            </w:r>
            <w:r>
              <w:t xml:space="preserve">: </w:t>
            </w:r>
            <w:r w:rsidRPr="00E15B5B">
              <w:t>banks, deposit-taking microfinance institutions, insurers, pension schemes, and non-deposit-taking financial service providers</w:t>
            </w:r>
            <w:r>
              <w:t xml:space="preserve"> that grant or provides loans or similar services or products, if and to the extent that such reporting entity is regulated by the National Bank of Rwanda.</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lastRenderedPageBreak/>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529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1E1EEAAF" w:rsidR="00524D54" w:rsidRPr="003577A4" w:rsidRDefault="002E0F9A" w:rsidP="00DD3144">
            <w:r w:rsidRPr="00DE2756">
              <w:rPr>
                <w:color w:val="EE0000"/>
              </w:rPr>
              <w:t xml:space="preserve">There is no express definition of the threshold. It applies to all financial institutions described above provided that they’re licensed by the National Bank of Rwanda in accordance with requirements stipulated in their respective governing legal instruments.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1C160309" w:rsidR="00576ED8" w:rsidRDefault="002E0F9A"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lastRenderedPageBreak/>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11716D18" w:rsidR="00911F20" w:rsidRDefault="002E0F9A"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4A497E1D" w:rsidR="009C4798" w:rsidRDefault="002E0F9A" w:rsidP="00DD3144">
            <w:r>
              <w:t>Refer to the article 22(2). It states that n</w:t>
            </w:r>
            <w:r w:rsidRPr="00191F09">
              <w:t>on-compliance with the provisions of these guidelines (policy tool) may lead to supervisory corrective actions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3CB97F26" w:rsidR="00CB1649" w:rsidRPr="00FA0CF8" w:rsidRDefault="00C81DFE" w:rsidP="00DD3144">
            <w:pPr>
              <w:spacing w:line="276" w:lineRule="auto"/>
              <w:rPr>
                <w:color w:val="000000" w:themeColor="text1"/>
              </w:rPr>
            </w:pPr>
            <w:r w:rsidRPr="00CB1649">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152B8427" w:rsidR="00BE0825" w:rsidRDefault="00C81DFE" w:rsidP="00DD3144">
            <w:pPr>
              <w:spacing w:line="276" w:lineRule="auto"/>
              <w:rPr>
                <w:color w:val="000000" w:themeColor="text1"/>
              </w:rPr>
            </w:pPr>
            <w:r>
              <w:rPr>
                <w:color w:val="000000" w:themeColor="text1"/>
              </w:rPr>
              <w:t>T</w:t>
            </w:r>
            <w:r w:rsidRPr="00773730">
              <w:rPr>
                <w:color w:val="000000" w:themeColor="text1"/>
              </w:rPr>
              <w:t>here is currently no known evidence of enforcement.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15E8844" w:rsidR="008063B5" w:rsidRDefault="00E60B85" w:rsidP="00DD3144">
            <w:pPr>
              <w:spacing w:line="276" w:lineRule="auto"/>
              <w:rPr>
                <w:color w:val="000000" w:themeColor="text1"/>
              </w:rPr>
            </w:pPr>
            <w:r w:rsidRPr="465C7D69">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23E05BAA" w:rsidR="008063B5" w:rsidRDefault="00E60B85" w:rsidP="00DD3144">
            <w:pPr>
              <w:spacing w:line="276" w:lineRule="auto"/>
              <w:rPr>
                <w:color w:val="000000" w:themeColor="text1"/>
              </w:rPr>
            </w:pPr>
            <w:r w:rsidRPr="00773730">
              <w:rPr>
                <w:color w:val="000000" w:themeColor="text1"/>
              </w:rPr>
              <w:t>No known involvement in litigation</w:t>
            </w:r>
            <w:r>
              <w:rPr>
                <w:color w:val="000000" w:themeColor="text1"/>
              </w:rPr>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2570E45D" w:rsidR="00042406" w:rsidRDefault="002F1704" w:rsidP="00DD3144">
            <w:r>
              <w:rPr>
                <w:rFonts w:ascii="Calibri" w:hAnsi="Calibri" w:cs="Calibri"/>
              </w:rP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28FF4832" w:rsidR="00042406" w:rsidRDefault="002F1704" w:rsidP="00DD3144">
            <w:r>
              <w:rPr>
                <w:rFonts w:ascii="Calibri" w:hAnsi="Calibri" w:cs="Calibri"/>
              </w:rP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21A3C6B0" w:rsidR="00042406" w:rsidRDefault="002F1704" w:rsidP="00DD3144">
            <w:r>
              <w:rPr>
                <w:rFonts w:ascii="Calibri" w:hAnsi="Calibri" w:cs="Calibri"/>
              </w:rP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74D32A3" w:rsidR="00042406" w:rsidRDefault="002F1704" w:rsidP="00DD3144">
            <w:r>
              <w:rPr>
                <w:rFonts w:ascii="Calibri" w:hAnsi="Calibri" w:cs="Calibri"/>
              </w:rP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B000A77" w:rsidR="00042406" w:rsidRDefault="002F1704" w:rsidP="00DD3144">
            <w:r>
              <w:rPr>
                <w:rFonts w:ascii="Calibri" w:hAnsi="Calibri" w:cs="Calibri"/>
              </w:rP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23D7A46D" w:rsidR="00042406" w:rsidRDefault="002F1704" w:rsidP="00DD3144">
            <w:r>
              <w:rPr>
                <w:rFonts w:ascii="Calibri" w:hAnsi="Calibri" w:cs="Calibri"/>
              </w:rP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2F6C4223" w:rsidR="00931F08" w:rsidRDefault="002F1704"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5477DE7F" w:rsidR="00931F08" w:rsidRDefault="002F1704"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5D24FF86" w:rsidR="00931F08" w:rsidRDefault="002F1704"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48C3AE05" w:rsidR="00931F08" w:rsidRDefault="002F1704"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3B97114" w:rsidR="00931F08" w:rsidRDefault="002F1704"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0104B135" w:rsidR="00931F08" w:rsidRDefault="002F1704"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37CD6193" w:rsidR="00B0479E" w:rsidRPr="00F75058" w:rsidRDefault="002F1704" w:rsidP="00DD3144">
            <w:pPr>
              <w:rPr>
                <w:rFonts w:ascii="Calibri" w:hAnsi="Calibri" w:cs="Calibri"/>
              </w:rPr>
            </w:pPr>
            <w: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8C24B70" w:rsidR="00B0479E" w:rsidRPr="00F75058" w:rsidRDefault="002F1704" w:rsidP="00DD3144">
            <w:pPr>
              <w:rPr>
                <w:rFonts w:ascii="Calibri" w:hAnsi="Calibri" w:cs="Calibri"/>
              </w:rPr>
            </w:pPr>
            <w: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59352F4E" w:rsidR="00B0479E" w:rsidRPr="00F75058" w:rsidRDefault="002F1704" w:rsidP="00DD3144">
            <w:pPr>
              <w:rPr>
                <w:rFonts w:ascii="Calibri" w:hAnsi="Calibri" w:cs="Calibri"/>
              </w:rPr>
            </w:pPr>
            <w: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47C710B0" w:rsidR="00B0479E" w:rsidRPr="00F75058" w:rsidRDefault="002F1704" w:rsidP="00DD3144">
            <w:pPr>
              <w:rPr>
                <w:rFonts w:ascii="Calibri" w:hAnsi="Calibri" w:cs="Calibri"/>
              </w:rPr>
            </w:pPr>
            <w: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6B11A93C" w:rsidR="00B0479E" w:rsidRPr="00F75058" w:rsidRDefault="002F1704" w:rsidP="00DD3144">
            <w:pPr>
              <w:rPr>
                <w:rFonts w:ascii="Calibri" w:hAnsi="Calibri" w:cs="Calibri"/>
              </w:rPr>
            </w:pPr>
            <w: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26495874" w:rsidR="00B0479E" w:rsidRPr="00F75058" w:rsidRDefault="002F1704" w:rsidP="00DD3144">
            <w:pPr>
              <w:rPr>
                <w:rFonts w:ascii="Calibri" w:hAnsi="Calibri" w:cs="Calibri"/>
              </w:rPr>
            </w:pPr>
            <w: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76AAB37B" w:rsidR="00B0479E" w:rsidRPr="00F75058" w:rsidRDefault="002F1704" w:rsidP="00DD3144">
            <w:pPr>
              <w:rPr>
                <w:rFonts w:ascii="Calibri" w:hAnsi="Calibri" w:cs="Calibri"/>
              </w:rPr>
            </w:pPr>
            <w: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2DAF4109" w:rsidR="00B0479E" w:rsidRPr="00F75058" w:rsidRDefault="002F1704" w:rsidP="00DD3144">
            <w:pPr>
              <w:rPr>
                <w:rFonts w:ascii="Calibri" w:hAnsi="Calibri" w:cs="Calibri"/>
              </w:rPr>
            </w:pPr>
            <w: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08562DD3" w:rsidR="00B0479E" w:rsidRDefault="002F1704" w:rsidP="00DD3144">
            <w:pPr>
              <w:rPr>
                <w:rFonts w:ascii="Calibri" w:hAnsi="Calibri" w:cs="Calibri"/>
              </w:rPr>
            </w:pPr>
            <w:r>
              <w:t>X</w:t>
            </w: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64E62E9C" w:rsidR="00B0479E" w:rsidRDefault="002F1704" w:rsidP="00DD3144">
            <w:pPr>
              <w:rPr>
                <w:rFonts w:ascii="Calibri" w:hAnsi="Calibri" w:cs="Calibri"/>
              </w:rPr>
            </w:pPr>
            <w:r>
              <w:t>X</w:t>
            </w: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755E42DC" w:rsidR="00B0479E" w:rsidRDefault="002F1704"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72926125" w:rsidR="00B0479E" w:rsidRDefault="002F1704"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2ED41B40" w:rsidR="00B0479E" w:rsidRDefault="002F1704" w:rsidP="00DD3144">
            <w:pPr>
              <w:rPr>
                <w:rFonts w:ascii="Calibri" w:hAnsi="Calibri" w:cs="Calibri"/>
              </w:rPr>
            </w:pPr>
            <w:r w:rsidRPr="00D026FF">
              <w:rPr>
                <w:rFonts w:ascii="Calibri" w:hAnsi="Calibri" w:cs="Calibri"/>
              </w:rPr>
              <w:t xml:space="preserve">The </w:t>
            </w:r>
            <w:r>
              <w:rPr>
                <w:rFonts w:ascii="Calibri" w:hAnsi="Calibri" w:cs="Calibri"/>
              </w:rPr>
              <w:t>tools</w:t>
            </w:r>
            <w:r w:rsidRPr="00D026FF">
              <w:rPr>
                <w:rFonts w:ascii="Calibri" w:hAnsi="Calibri" w:cs="Calibri"/>
              </w:rPr>
              <w:t xml:space="preserve"> do not provide detailed specifications regarding which greenhouse gas (GHG) emissions must be disclosed; instead, they generally require the disclosure of GHG emissions as a whole</w:t>
            </w:r>
            <w:r>
              <w:rPr>
                <w:rFonts w:ascii="Calibri" w:hAnsi="Calibri" w:cs="Calibri"/>
              </w:rPr>
              <w:t xml:space="preserve"> as indicated therein</w:t>
            </w:r>
            <w:r w:rsidRPr="00D026FF">
              <w:rPr>
                <w:rFonts w:ascii="Calibri" w:hAnsi="Calibri" w:cs="Calibri"/>
              </w:rPr>
              <w:t>. Furthermore, the guidelines indicate that financial institutions are encouraged to reduce their carbon emissions</w:t>
            </w:r>
            <w:r>
              <w:rPr>
                <w:rFonts w:ascii="Calibri" w:hAnsi="Calibri" w:cs="Calibri"/>
              </w:rPr>
              <w:t>.</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lastRenderedPageBreak/>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lastRenderedPageBreak/>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5864517D" w:rsidR="00B0479E" w:rsidRDefault="002F1704"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9CA88E8" w:rsidR="00B0479E" w:rsidRDefault="002F1704" w:rsidP="00DD3144">
            <w:r w:rsidRPr="00A805E7">
              <w:t xml:space="preserve">It does not specifically recommend or require targets for renewable energy, fossil fuel phase-out, </w:t>
            </w:r>
            <w:r>
              <w:t xml:space="preserve">climate </w:t>
            </w:r>
            <w:r w:rsidRPr="00A805E7">
              <w:t xml:space="preserve">adaptation, </w:t>
            </w:r>
            <w:r>
              <w:t xml:space="preserve">nature and/or </w:t>
            </w:r>
            <w:r w:rsidRPr="00A805E7">
              <w:t>biodiversity, or just transition</w:t>
            </w:r>
            <w:r>
              <w:t xml:space="preserve">, rather, its article 8(1)(f) indicates that </w:t>
            </w:r>
            <w:r w:rsidRPr="00A805E7">
              <w:t>Financial Institutions must, as specified in IFRS S2, disclose information relevant to the cross-industry metric categories, industry-based metrics and targets set by the reporting entity</w:t>
            </w:r>
            <w:r>
              <w:t xml:space="preserve">.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2EFB69DD" w:rsidR="00EC42A1" w:rsidRDefault="002F1704"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lastRenderedPageBreak/>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2B994280" w:rsidR="00EC42A1" w:rsidRDefault="002F1704" w:rsidP="00DD3144">
            <w:r>
              <w:t>X</w:t>
            </w:r>
          </w:p>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2B42F085" w:rsidR="00EC42A1" w:rsidRDefault="002F1704" w:rsidP="00DD3144">
            <w:r>
              <w:t>X</w:t>
            </w:r>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5333BCE" w:rsidR="00EC42A1" w:rsidRDefault="002F1704"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0446903A" w:rsidR="00484663" w:rsidRDefault="002F1704"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lastRenderedPageBreak/>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0B5AABF7" w:rsidR="00484663" w:rsidRDefault="002F1704"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36D577B0" w:rsidR="00484663" w:rsidRDefault="002F1704"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3D999946" w:rsidR="00484663" w:rsidRDefault="002F1704"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6991D4F6" w:rsidR="00484663" w:rsidRDefault="002F1704"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23AFFB99" w:rsidR="00484663" w:rsidRDefault="002F1704" w:rsidP="00DD3144">
            <w:r>
              <w:t>X</w:t>
            </w:r>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26C62A9C" w:rsidR="00484663" w:rsidRDefault="002F1704" w:rsidP="00DD3144">
            <w:r>
              <w:t>X</w:t>
            </w:r>
          </w:p>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6F88B71F" w:rsidR="00484663" w:rsidRDefault="002F1704" w:rsidP="00DD3144">
            <w:r>
              <w:t>X</w:t>
            </w:r>
          </w:p>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4415CE95" w:rsidR="00484663" w:rsidRDefault="00F6003D"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45FDE2A" w:rsidR="00484663" w:rsidRDefault="00F6003D"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06478EE6" w:rsidR="00484663" w:rsidRDefault="00F6003D" w:rsidP="00DD3144">
            <w:r>
              <w:t>X</w:t>
            </w:r>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218CAACC" w:rsidR="00484663" w:rsidRDefault="00F6003D" w:rsidP="00DD3144">
            <w:r>
              <w:t>X</w:t>
            </w:r>
          </w:p>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31B2DECF" w:rsidR="00484663" w:rsidRDefault="00F6003D"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389DB03" w:rsidR="00484663" w:rsidRDefault="00F6003D"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28B3E77" w:rsidR="00484663" w:rsidRDefault="00F6003D"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6813240B" w:rsidR="00484663" w:rsidRDefault="00F6003D"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2A8C0E96" w:rsidR="00484663" w:rsidRDefault="00F6003D"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3C31817D" w:rsidR="00DA416F" w:rsidRPr="00DD3144" w:rsidRDefault="00EF1F91" w:rsidP="00DD3144">
            <w:pPr>
              <w:keepNext/>
              <w:rPr>
                <w:rFonts w:ascii="Calibri" w:hAnsi="Calibri" w:cs="Calibri"/>
              </w:rPr>
            </w:pPr>
            <w:r w:rsidRPr="00DD3144">
              <w:rPr>
                <w:rFonts w:ascii="Calibri" w:hAnsi="Calibri" w:cs="Calibri"/>
              </w:rPr>
              <w:t>X</w:t>
            </w: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08915A3A" w:rsidR="00DA416F" w:rsidRPr="00DD3144" w:rsidRDefault="00EF1F91" w:rsidP="00DD3144">
            <w:pPr>
              <w:keepNext/>
              <w:rPr>
                <w:rFonts w:ascii="Calibri" w:hAnsi="Calibri" w:cs="Calibri"/>
              </w:rPr>
            </w:pPr>
            <w:r w:rsidRPr="00DD3144">
              <w:rPr>
                <w:rFonts w:ascii="Calibri" w:hAnsi="Calibri" w:cs="Calibri"/>
              </w:rPr>
              <w:t>X</w:t>
            </w: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63708B28" w:rsidR="00DA416F" w:rsidRPr="00DD3144" w:rsidRDefault="00EF1F91" w:rsidP="00DD3144">
            <w:pPr>
              <w:keepNext/>
              <w:rPr>
                <w:rFonts w:ascii="Calibri" w:hAnsi="Calibri" w:cs="Calibri"/>
              </w:rPr>
            </w:pPr>
            <w:r w:rsidRPr="00DD3144">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5E61479"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14CF0C5"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AEC1D12"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EBA1DB4" w:rsidR="00DA416F" w:rsidRPr="00DD3144" w:rsidRDefault="00EF1F91" w:rsidP="00DD3144">
            <w:pPr>
              <w:keepNext/>
              <w:rPr>
                <w:rFonts w:ascii="Calibri" w:hAnsi="Calibri" w:cs="Calibri"/>
              </w:rPr>
            </w:pPr>
            <w:r w:rsidRPr="00DD3144">
              <w:rPr>
                <w:rFonts w:ascii="Calibri" w:hAnsi="Calibri" w:cs="Calibri"/>
              </w:rP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07BCC16"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C46D742"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41F5DFBF"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E14B541"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2DC5BBA"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00EB2F7" w:rsidR="00DA416F" w:rsidRPr="00DD3144" w:rsidRDefault="00EF1F91" w:rsidP="00DD3144">
            <w:pPr>
              <w:keepNext/>
              <w:rPr>
                <w:rFonts w:ascii="Calibri" w:hAnsi="Calibri" w:cs="Calibri"/>
              </w:rPr>
            </w:pPr>
            <w:r w:rsidRPr="00DD3144">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451D7281" w:rsidR="00DA416F" w:rsidRPr="00DD3144" w:rsidRDefault="00EF1F91" w:rsidP="00DD3144">
            <w:pPr>
              <w:keepNext/>
              <w:rPr>
                <w:rFonts w:ascii="Calibri" w:hAnsi="Calibri" w:cs="Calibri"/>
              </w:rPr>
            </w:pPr>
            <w:r w:rsidRPr="00DD3144">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DACA654" w:rsidR="004B1F6B" w:rsidRPr="00982BBA" w:rsidRDefault="00EF1F91" w:rsidP="00982BBA">
            <w:pPr>
              <w:pStyle w:val="ListParagraph"/>
              <w:numPr>
                <w:ilvl w:val="0"/>
                <w:numId w:val="50"/>
              </w:numPr>
              <w:rPr>
                <w:rFonts w:ascii="Calibri" w:hAnsi="Calibri" w:cs="Calibri"/>
              </w:rPr>
            </w:pPr>
            <w:r w:rsidRPr="00982BBA">
              <w:rPr>
                <w:rFonts w:ascii="Calibri" w:hAnsi="Calibri" w:cs="Calibri"/>
              </w:rPr>
              <w:t>Network for Greening the Financial System (NGFS) (</w:t>
            </w:r>
            <w:hyperlink r:id="rId18" w:history="1">
              <w:r w:rsidRPr="00EF1F91">
                <w:rPr>
                  <w:rStyle w:val="Hyperlink"/>
                  <w:rFonts w:ascii="Calibri" w:hAnsi="Calibri" w:cs="Calibri"/>
                </w:rPr>
                <w:t>https://web.archive.org/save/https://www.ngfs.net/system/files/2025-01/NGFS%20Climate%20Scenarios%20Technical%20Documentation.pdf</w:t>
              </w:r>
            </w:hyperlink>
            <w:r w:rsidRPr="00982BBA">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4DA3D66E" w:rsidR="00C4670C"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1A820842" w:rsidR="004F276F"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189A06D9" w:rsidR="004F276F"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1306F3A8" w:rsidR="004F276F"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6960D986" w:rsidR="004F276F" w:rsidRPr="00C37D48" w:rsidRDefault="00EF1F91" w:rsidP="00C37D48">
            <w:pPr>
              <w:rPr>
                <w:rFonts w:ascii="Calibri" w:hAnsi="Calibri" w:cs="Calibri"/>
              </w:rPr>
            </w:pPr>
            <w:r w:rsidRPr="00C37D48">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519E156" w:rsidR="004F276F"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2768E19F" w:rsidR="004F276F" w:rsidRPr="00C37D48" w:rsidRDefault="00EF1F91" w:rsidP="00C37D48">
            <w:pPr>
              <w:rPr>
                <w:rFonts w:ascii="Calibri" w:hAnsi="Calibri" w:cs="Calibri"/>
              </w:rPr>
            </w:pPr>
            <w:r w:rsidRPr="00C37D48">
              <w:rPr>
                <w:rFonts w:ascii="Calibri" w:hAnsi="Calibri" w:cs="Calibri"/>
              </w:rPr>
              <w:t>X</w:t>
            </w: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36FA9991" w:rsidR="004F276F" w:rsidRPr="00C37D48" w:rsidRDefault="00EF1F91" w:rsidP="00C37D48">
            <w:pPr>
              <w:rPr>
                <w:rFonts w:ascii="Calibri" w:hAnsi="Calibri" w:cs="Calibri"/>
              </w:rPr>
            </w:pPr>
            <w:r w:rsidRPr="00C927CA">
              <w:rPr>
                <w:rFonts w:ascii="Calibri" w:hAnsi="Calibri" w:cs="Calibri"/>
              </w:rPr>
              <w:t xml:space="preserve">SACCOs (UMWALIMU SACCO, MUGANGA SACCO, Umurenge SACCOs),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474DD4E6" w:rsidR="004F276F" w:rsidRPr="00C37D48" w:rsidRDefault="00C2214C" w:rsidP="00C37D48">
            <w:pPr>
              <w:rPr>
                <w:rFonts w:ascii="Calibri" w:hAnsi="Calibri" w:cs="Calibri"/>
              </w:rPr>
            </w:pPr>
            <w:r w:rsidRPr="00C37D48">
              <w:rPr>
                <w:rFonts w:ascii="Calibri" w:hAnsi="Calibri" w:cs="Calibri"/>
              </w:rPr>
              <w:t>X</w:t>
            </w: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5529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59F1C9B1" w:rsidR="004F276F" w:rsidRPr="00C37D48" w:rsidRDefault="00C2214C" w:rsidP="00C37D48">
            <w:pPr>
              <w:rPr>
                <w:rFonts w:ascii="Calibri" w:hAnsi="Calibri" w:cs="Calibri"/>
              </w:rPr>
            </w:pPr>
            <w:r w:rsidRPr="00FC39F7">
              <w:rPr>
                <w:color w:val="EE0000"/>
              </w:rPr>
              <w:t xml:space="preserve">There is no express definition of the threshold. It applies to all financial institutions described above provided that they’re licensed by the National Bank of Rwanda in accordance with requirements stipulated in their respective governing legal instruments.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0148666F" w:rsidR="004F276F" w:rsidRPr="00C37D48" w:rsidRDefault="008257A6" w:rsidP="00C37D48">
            <w:pPr>
              <w:rPr>
                <w:rFonts w:ascii="Calibri" w:hAnsi="Calibri" w:cs="Calibri"/>
              </w:rPr>
            </w:pPr>
            <w:r w:rsidRPr="00C37D48">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5DD87BF0" w:rsidR="001F30DE" w:rsidRPr="00C37D48" w:rsidRDefault="008257A6" w:rsidP="00C37D48">
            <w:pPr>
              <w:rPr>
                <w:rFonts w:ascii="Calibri" w:hAnsi="Calibri" w:cs="Calibri"/>
              </w:rPr>
            </w:pPr>
            <w:r w:rsidRPr="00C37D48">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4383C69" w:rsidR="001F30DE" w:rsidRPr="00C37D48" w:rsidRDefault="008257A6" w:rsidP="00C37D48">
            <w:pPr>
              <w:rPr>
                <w:rFonts w:ascii="Calibri" w:hAnsi="Calibri" w:cs="Calibri"/>
              </w:rPr>
            </w:pPr>
            <w:r w:rsidRPr="00C37D48">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055C9AE9" w:rsidR="001F30DE" w:rsidRPr="00C37D48" w:rsidRDefault="008257A6" w:rsidP="00C37D48">
            <w:pPr>
              <w:rPr>
                <w:rFonts w:ascii="Calibri" w:hAnsi="Calibri" w:cs="Calibri"/>
              </w:rPr>
            </w:pPr>
            <w:r w:rsidRPr="00773730">
              <w:rPr>
                <w:color w:val="000000" w:themeColor="text1"/>
              </w:rPr>
              <w:t>there is currently no known evidence of enforcement.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19AA39D" w:rsidR="004F48E8" w:rsidRPr="00C37D48" w:rsidRDefault="008257A6" w:rsidP="00C37D48">
            <w:pPr>
              <w:rPr>
                <w:rFonts w:ascii="Calibri" w:hAnsi="Calibri" w:cs="Calibri"/>
              </w:rPr>
            </w:pPr>
            <w:r w:rsidRPr="00C37D48">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558E597E" w:rsidR="000A1365" w:rsidRPr="00C37D48" w:rsidRDefault="00421E1C" w:rsidP="00C37D48">
            <w:pPr>
              <w:rPr>
                <w:rFonts w:ascii="Calibri" w:hAnsi="Calibri" w:cs="Calibri"/>
              </w:rPr>
            </w:pPr>
            <w:r w:rsidRPr="00C37D48">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5ED04EC"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210A72E1"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45EA05D5"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62FEE55"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4AF23D37"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33901DE0"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12B2396E"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5A24756E"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65B7553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49E2A42D"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5E0A06E3"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25466064"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67DFA36" w:rsidR="00D9431B" w:rsidRPr="00C37D48" w:rsidRDefault="00EC39F2" w:rsidP="00C37D48">
            <w:pPr>
              <w:rPr>
                <w:rFonts w:ascii="Calibri" w:hAnsi="Calibri" w:cs="Calibri"/>
              </w:rPr>
            </w:pPr>
            <w:r w:rsidRPr="00EC39F2">
              <w:rPr>
                <w:rFonts w:ascii="Calibri" w:hAnsi="Calibri" w:cs="Calibri"/>
              </w:rPr>
              <w:t>The guidelines require financial institutions to integrate climate and environmental considerations into their business models and strategies (Article 5), evaluate and mitigate related risks through sector-level and counterparty-specific measures (Article 12), and adopt a robust approach to disclosing climate-related and environmental financial risks in line with international standards (Article 15). Institutions must use the annual disclosure format provided in Annex 1 (notably Sections 3c, 5a, and 5b) to report on objectives, metrics, and targets, including emissions reductions, and are encouraged to use scenario analysis based on the Network for Greening the Financial System (NGFS) scenarios as outlined in Annex 4. The preamble further emphasises alignment with Rwanda’s Nationally Determined Contributions (NDCs), the Paris Agreement, Sustainable Development Goals (SDGs), and national strategies, ensuring that climate adaptation, mitigation, and sustainable development objectives are embedded throughout institutional governance, risk management, and disclosure practices.</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60A026D" w:rsidR="000A1365" w:rsidRPr="00C37D48" w:rsidRDefault="00723454" w:rsidP="00C37D48">
            <w:pPr>
              <w:rPr>
                <w:rFonts w:ascii="Calibri" w:hAnsi="Calibri" w:cs="Calibri"/>
              </w:rPr>
            </w:pPr>
            <w:r w:rsidRPr="00C37D48">
              <w:rPr>
                <w:rFonts w:ascii="Calibri" w:hAnsi="Calibri" w:cs="Calibri"/>
              </w:rPr>
              <w:t>X.</w:t>
            </w: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5B03E926" w:rsidR="00C81DE5" w:rsidRPr="00C37D48" w:rsidRDefault="00723454" w:rsidP="00C37D48">
            <w:pPr>
              <w:rPr>
                <w:rFonts w:ascii="Calibri" w:hAnsi="Calibri" w:cs="Calibri"/>
              </w:rPr>
            </w:pPr>
            <w:r w:rsidRPr="00C37D48">
              <w:rPr>
                <w:rFonts w:ascii="Calibri" w:hAnsi="Calibri" w:cs="Calibri"/>
              </w:rPr>
              <w:t>X.</w:t>
            </w: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A5E2BF6" w:rsidR="000A1365" w:rsidRPr="00C37D48" w:rsidRDefault="00723454" w:rsidP="00C37D48">
            <w:pPr>
              <w:rPr>
                <w:rFonts w:ascii="Calibri" w:hAnsi="Calibri" w:cs="Calibri"/>
              </w:rPr>
            </w:pPr>
            <w:r w:rsidRPr="00C37D48">
              <w:rPr>
                <w:rFonts w:ascii="Calibri" w:hAnsi="Calibri" w:cs="Calibri"/>
              </w:rPr>
              <w:t>X.</w:t>
            </w: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19F5DCF1" w:rsidR="000A1365" w:rsidRPr="00C37D48" w:rsidRDefault="00723454" w:rsidP="00C37D48">
            <w:pPr>
              <w:rPr>
                <w:rFonts w:ascii="Calibri" w:hAnsi="Calibri" w:cs="Calibri"/>
              </w:rPr>
            </w:pPr>
            <w:r w:rsidRPr="00C37D48">
              <w:rPr>
                <w:rFonts w:ascii="Calibri" w:hAnsi="Calibri" w:cs="Calibri"/>
              </w:rPr>
              <w:t>X</w:t>
            </w: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03498E85" w:rsidR="000A1365" w:rsidRPr="00C37D48" w:rsidRDefault="00723454" w:rsidP="00C37D48">
            <w:pPr>
              <w:rPr>
                <w:rFonts w:ascii="Calibri" w:hAnsi="Calibri" w:cs="Calibri"/>
              </w:rPr>
            </w:pPr>
            <w:r w:rsidRPr="00C37D48">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20FE9252" w:rsidR="000A1365" w:rsidRPr="00C37D48" w:rsidRDefault="00723454" w:rsidP="00C37D48">
            <w:pPr>
              <w:rPr>
                <w:rFonts w:ascii="Calibri" w:hAnsi="Calibri" w:cs="Calibri"/>
              </w:rPr>
            </w:pPr>
            <w:r w:rsidRPr="00C37D48">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4886D660" w:rsidR="000A1365" w:rsidRPr="00C37D48" w:rsidRDefault="00723454" w:rsidP="00C37D48">
            <w:pPr>
              <w:rPr>
                <w:rFonts w:ascii="Calibri" w:hAnsi="Calibri" w:cs="Calibri"/>
              </w:rPr>
            </w:pPr>
            <w:r w:rsidRPr="00C37D48">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01234957" w:rsidR="000A1365" w:rsidRPr="00C37D48" w:rsidRDefault="00723454" w:rsidP="00C37D48">
            <w:pPr>
              <w:rPr>
                <w:rFonts w:ascii="Calibri" w:hAnsi="Calibri" w:cs="Calibri"/>
              </w:rPr>
            </w:pPr>
            <w:r w:rsidRPr="00C37D48">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185D58FC" w:rsidR="000A1365" w:rsidRPr="00C37D48" w:rsidRDefault="00723454" w:rsidP="00C37D48">
            <w:pPr>
              <w:rPr>
                <w:rFonts w:ascii="Calibri" w:hAnsi="Calibri" w:cs="Calibri"/>
              </w:rPr>
            </w:pPr>
            <w:r w:rsidRPr="00C37D48">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7E3314D4" w:rsidR="00D9431B" w:rsidRPr="00C37D48" w:rsidRDefault="00723454" w:rsidP="00C37D48">
            <w:pPr>
              <w:rPr>
                <w:rFonts w:ascii="Calibri" w:hAnsi="Calibri" w:cs="Calibri"/>
              </w:rPr>
            </w:pPr>
            <w:r w:rsidRPr="00C37D48">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154A6678" w:rsidR="00890032" w:rsidRPr="00C37D48" w:rsidRDefault="00723454" w:rsidP="00C37D48">
            <w:pPr>
              <w:rPr>
                <w:rFonts w:ascii="Calibri" w:hAnsi="Calibri" w:cs="Calibri"/>
              </w:rPr>
            </w:pPr>
            <w:r w:rsidRPr="00C37D48">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5D6377F0" w:rsidR="003618D4" w:rsidRPr="00C37D48" w:rsidRDefault="007C3E93" w:rsidP="00C37D48">
            <w:pPr>
              <w:rPr>
                <w:rFonts w:ascii="Calibri" w:hAnsi="Calibri" w:cs="Calibri"/>
              </w:rPr>
            </w:pPr>
            <w:r w:rsidRPr="006E33C9">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926DE0D" w:rsidR="003618D4" w:rsidRPr="00C37D48" w:rsidRDefault="007C3E93" w:rsidP="00C37D48">
            <w:pPr>
              <w:rPr>
                <w:rFonts w:ascii="Calibri" w:hAnsi="Calibri" w:cs="Calibri"/>
              </w:rPr>
            </w:pPr>
            <w:r w:rsidRPr="006E33C9">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681FC770" w:rsidR="003618D4" w:rsidRPr="00C37D48" w:rsidRDefault="007C3E93" w:rsidP="00C37D48">
            <w:pPr>
              <w:rPr>
                <w:rFonts w:ascii="Calibri" w:hAnsi="Calibri" w:cs="Calibri"/>
              </w:rPr>
            </w:pPr>
            <w:r w:rsidRPr="006E33C9">
              <w:rPr>
                <w:rFonts w:ascii="Calibri" w:hAnsi="Calibri" w:cs="Calibri"/>
              </w:rPr>
              <w:t>X</w:t>
            </w: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0B7EDF7" w:rsidR="003618D4" w:rsidRPr="00C37D48" w:rsidRDefault="007C3E93" w:rsidP="00C37D48">
            <w:pPr>
              <w:rPr>
                <w:rFonts w:ascii="Calibri" w:hAnsi="Calibri" w:cs="Calibri"/>
              </w:rPr>
            </w:pPr>
            <w:r w:rsidRPr="006E33C9">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545A173D" w:rsidR="003618D4" w:rsidRPr="00C37D48" w:rsidRDefault="007C3E93" w:rsidP="00C37D48">
            <w:pPr>
              <w:rPr>
                <w:rFonts w:ascii="Calibri" w:hAnsi="Calibri" w:cs="Calibri"/>
              </w:rPr>
            </w:pPr>
            <w:r w:rsidRPr="006E33C9">
              <w:rPr>
                <w:rFonts w:ascii="Calibri" w:hAnsi="Calibri" w:cs="Calibri"/>
              </w:rPr>
              <w:t>X</w:t>
            </w: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65DDEE24" w:rsidR="003618D4" w:rsidRPr="00C37D48" w:rsidRDefault="007C3E93" w:rsidP="00C37D48">
            <w:pPr>
              <w:rPr>
                <w:rFonts w:ascii="Calibri" w:hAnsi="Calibri" w:cs="Calibri"/>
              </w:rPr>
            </w:pPr>
            <w:r w:rsidRPr="006E33C9">
              <w:rPr>
                <w:rFonts w:ascii="Calibri" w:hAnsi="Calibri" w:cs="Calibri"/>
              </w:rPr>
              <w:t>X</w:t>
            </w: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1AA6F33F" w14:textId="77777777" w:rsidR="005733AF" w:rsidRDefault="007C3E93" w:rsidP="00982BBA">
            <w:pPr>
              <w:jc w:val="both"/>
              <w:rPr>
                <w:rFonts w:ascii="Calibri" w:hAnsi="Calibri" w:cs="Calibri"/>
              </w:rPr>
            </w:pPr>
            <w:r>
              <w:rPr>
                <w:rFonts w:ascii="Calibri" w:hAnsi="Calibri" w:cs="Calibri"/>
              </w:rPr>
              <w:t xml:space="preserve">It </w:t>
            </w:r>
            <w:r w:rsidRPr="007C3E93">
              <w:rPr>
                <w:rFonts w:ascii="Calibri" w:hAnsi="Calibri" w:cs="Calibri"/>
              </w:rPr>
              <w:t>require financial institutions to develop and implement internal frameworks for identifying, assessing, managing, and disclosing climate-related and environmental financial risks, with integration into business models, strategies, and risk management processes</w:t>
            </w:r>
            <w:r>
              <w:rPr>
                <w:rFonts w:ascii="Calibri" w:hAnsi="Calibri" w:cs="Calibri"/>
              </w:rPr>
              <w:t xml:space="preserve">. </w:t>
            </w:r>
          </w:p>
          <w:p w14:paraId="475AE54F" w14:textId="7C1483B0" w:rsidR="007C3E93" w:rsidRPr="00C37D48" w:rsidRDefault="007C3E93" w:rsidP="00982BBA">
            <w:pPr>
              <w:jc w:val="both"/>
              <w:rPr>
                <w:rFonts w:ascii="Calibri" w:hAnsi="Calibri" w:cs="Calibri"/>
              </w:rPr>
            </w:pPr>
            <w:r>
              <w:rPr>
                <w:rFonts w:ascii="Calibri" w:hAnsi="Calibri" w:cs="Calibri"/>
              </w:rPr>
              <w:t xml:space="preserve">Article 19 provide about the </w:t>
            </w:r>
            <w:r w:rsidRPr="007C3E93">
              <w:rPr>
                <w:rFonts w:ascii="Calibri" w:hAnsi="Calibri" w:cs="Calibri"/>
              </w:rPr>
              <w:t xml:space="preserve">progress monitored using key risk indicators. Institutions are also required to conduct scenario analysis and stress testing using methodologies such as those from the Network for Greening the Financial System (Article 14, Annex 4), and to consider the impact of climate risks on capital and liquidity (Articles 9 and 13). </w:t>
            </w:r>
            <w:r w:rsidR="007F5136">
              <w:rPr>
                <w:rFonts w:ascii="Calibri" w:hAnsi="Calibri" w:cs="Calibri"/>
              </w:rPr>
              <w:t xml:space="preserve">Moreover, article 5 and 14 provides about some of the duties identified above. </w:t>
            </w:r>
            <w:r w:rsidR="00614230">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01039201" w:rsidR="00E7486E" w:rsidRPr="00C37D48" w:rsidRDefault="00614230" w:rsidP="00C37D48">
            <w:pPr>
              <w:rPr>
                <w:rFonts w:ascii="Calibri" w:hAnsi="Calibri" w:cs="Calibri"/>
              </w:rPr>
            </w:pPr>
            <w:r w:rsidRPr="00C37D48">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603D9A0D" w14:textId="77777777" w:rsidR="00E7486E" w:rsidRDefault="00614230" w:rsidP="00C37D48">
            <w:pPr>
              <w:rPr>
                <w:rFonts w:ascii="Calibri" w:hAnsi="Calibri" w:cs="Calibri"/>
              </w:rPr>
            </w:pPr>
            <w:r w:rsidRPr="00537FE1">
              <w:rPr>
                <w:rFonts w:ascii="Calibri" w:hAnsi="Calibri" w:cs="Calibri"/>
              </w:rPr>
              <w:t>The policy tool requires entities to monitor progress in implementing their transition plans</w:t>
            </w:r>
            <w:r>
              <w:rPr>
                <w:rFonts w:ascii="Calibri" w:hAnsi="Calibri" w:cs="Calibri"/>
              </w:rPr>
              <w:t xml:space="preserve">. Article 23 </w:t>
            </w:r>
            <w:r w:rsidRPr="00537FE1">
              <w:rPr>
                <w:rFonts w:ascii="Calibri" w:hAnsi="Calibri" w:cs="Calibri"/>
              </w:rPr>
              <w:t xml:space="preserve">article stipulates that financial institutions </w:t>
            </w:r>
            <w:r>
              <w:rPr>
                <w:rFonts w:ascii="Calibri" w:hAnsi="Calibri" w:cs="Calibri"/>
              </w:rPr>
              <w:t>shall</w:t>
            </w:r>
            <w:r w:rsidRPr="00537FE1">
              <w:rPr>
                <w:rFonts w:ascii="Calibri" w:hAnsi="Calibri" w:cs="Calibri"/>
              </w:rPr>
              <w:t xml:space="preserve"> implement the guidelines in phases</w:t>
            </w:r>
            <w:r>
              <w:rPr>
                <w:rFonts w:ascii="Calibri" w:hAnsi="Calibri" w:cs="Calibri"/>
              </w:rPr>
              <w:t xml:space="preserve"> as per annex 3 of these guidelines, demonstrating its full commitment to a structured and effective integration process. </w:t>
            </w:r>
            <w:r w:rsidRPr="00537FE1">
              <w:rPr>
                <w:rFonts w:ascii="Calibri" w:hAnsi="Calibri" w:cs="Calibri"/>
              </w:rPr>
              <w:t xml:space="preserve"> </w:t>
            </w:r>
          </w:p>
          <w:p w14:paraId="0C49EF13" w14:textId="5C4E253C" w:rsidR="000035CF" w:rsidRPr="00C37D48" w:rsidRDefault="000035CF" w:rsidP="00C37D48">
            <w:pPr>
              <w:rPr>
                <w:rFonts w:ascii="Calibri" w:hAnsi="Calibri" w:cs="Calibri"/>
              </w:rPr>
            </w:pPr>
            <w:r w:rsidRPr="000035CF">
              <w:rPr>
                <w:rFonts w:ascii="Calibri" w:hAnsi="Calibri" w:cs="Calibri"/>
              </w:rPr>
              <w:t>Financial institutions are required to have a framework in place for reporting climate-related and environmental financial risks, which includes the timely submission of pertinent information to the board of directors and senior management on both opportunities and material risks on an annual basis.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64B783E1" w:rsidR="00671EA4" w:rsidRPr="00982BBA" w:rsidRDefault="000035CF" w:rsidP="00C37D48">
            <w:pPr>
              <w:rPr>
                <w:rFonts w:ascii="Calibri" w:hAnsi="Calibri" w:cs="Calibri"/>
                <w:b/>
                <w:bCs/>
              </w:rPr>
            </w:pPr>
            <w:r w:rsidRPr="00C37D48">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1B008632" w:rsidR="00813A3A" w:rsidRPr="00C37D48" w:rsidRDefault="000035CF" w:rsidP="00C37D48">
            <w:pPr>
              <w:rPr>
                <w:rFonts w:ascii="Calibri" w:hAnsi="Calibri" w:cs="Calibri"/>
              </w:rPr>
            </w:pPr>
            <w:r>
              <w:rPr>
                <w:rFonts w:ascii="Calibri" w:hAnsi="Calibri" w:cs="Calibri"/>
              </w:rPr>
              <w:t>Actually policy tool is not specific.</w:t>
            </w: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6C168310" w:rsidR="00B610C2" w:rsidRPr="00610F28" w:rsidRDefault="000035CF" w:rsidP="00610F28">
            <w:pPr>
              <w:rPr>
                <w:rFonts w:ascii="Calibri" w:hAnsi="Calibri" w:cs="Calibri"/>
              </w:rPr>
            </w:pPr>
            <w:r w:rsidRPr="00610F28">
              <w:rPr>
                <w:rFonts w:ascii="Calibri" w:hAnsi="Calibri" w:cs="Calibri"/>
              </w:rPr>
              <w:t>X</w:t>
            </w: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5919E744" w:rsidR="00B610C2" w:rsidRPr="00610F28" w:rsidRDefault="000035CF" w:rsidP="00610F28">
            <w:pPr>
              <w:rPr>
                <w:rFonts w:ascii="Calibri" w:hAnsi="Calibri" w:cs="Calibri"/>
              </w:rPr>
            </w:pPr>
            <w:r w:rsidRPr="00610F28">
              <w:rPr>
                <w:rFonts w:ascii="Calibri" w:hAnsi="Calibri" w:cs="Calibri"/>
              </w:rPr>
              <w:t>X</w:t>
            </w: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693C4796" w:rsidR="00B610C2" w:rsidRPr="00610F28" w:rsidRDefault="000035CF" w:rsidP="00610F28">
            <w:pPr>
              <w:rPr>
                <w:rFonts w:ascii="Calibri" w:hAnsi="Calibri" w:cs="Calibri"/>
              </w:rPr>
            </w:pPr>
            <w:r w:rsidRPr="00610F28">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4E46388F" w:rsidR="00B610C2" w:rsidRPr="00610F28" w:rsidRDefault="000035CF" w:rsidP="00610F28">
            <w:pPr>
              <w:rPr>
                <w:rFonts w:ascii="Calibri" w:hAnsi="Calibri" w:cs="Calibri"/>
              </w:rPr>
            </w:pPr>
            <w:r w:rsidRPr="00610F28">
              <w:rPr>
                <w:rFonts w:ascii="Calibri" w:hAnsi="Calibri" w:cs="Calibri"/>
              </w:rPr>
              <w:t>X</w:t>
            </w: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0AC26BF7" w:rsidR="00B610C2" w:rsidRPr="00982BBA" w:rsidRDefault="000035CF" w:rsidP="00982BBA">
            <w:pPr>
              <w:pStyle w:val="ListParagraph"/>
              <w:numPr>
                <w:ilvl w:val="0"/>
                <w:numId w:val="51"/>
              </w:numPr>
              <w:rPr>
                <w:rFonts w:ascii="Calibri" w:hAnsi="Calibri" w:cs="Calibri"/>
              </w:rPr>
            </w:pPr>
            <w:r w:rsidRPr="00982BBA">
              <w:rPr>
                <w:rFonts w:ascii="Calibri" w:hAnsi="Calibri" w:cs="Calibri"/>
              </w:rPr>
              <w:t>Network for Greening the Financial System (NGFS) (</w:t>
            </w:r>
            <w:hyperlink r:id="rId19" w:history="1">
              <w:r w:rsidRPr="00373C2B">
                <w:rPr>
                  <w:rStyle w:val="Hyperlink"/>
                  <w:rFonts w:ascii="Calibri" w:hAnsi="Calibri" w:cs="Calibri"/>
                </w:rPr>
                <w:t>https://web.archive.org/save/https://www.ngfs.net/system/files/2025-01/NGFS%20Climate%20Scenarios%20Technical%20Documentation.pdf</w:t>
              </w:r>
            </w:hyperlink>
            <w:r w:rsidRPr="00982BBA">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529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529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8C273CC" w:rsidR="00D4323A" w:rsidRPr="00CF2E7C" w:rsidRDefault="001467DD" w:rsidP="00CF2E7C">
            <w:pPr>
              <w:rPr>
                <w:rFonts w:ascii="Calibri" w:hAnsi="Calibri" w:cs="Calibri"/>
              </w:rPr>
            </w:pPr>
            <w:r w:rsidRPr="00CF2E7C">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2DA72C9"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1C5C460B"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E07FCBA"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4CAE3F41" w:rsidR="00DD292A" w:rsidRPr="00CF2E7C" w:rsidRDefault="00E72D8D" w:rsidP="00CF2E7C">
            <w:pPr>
              <w:rPr>
                <w:rFonts w:ascii="Calibri" w:hAnsi="Calibri" w:cs="Calibri"/>
              </w:rPr>
            </w:pPr>
            <w:r w:rsidRPr="00CF2E7C">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4B7B9A1A"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A8F5CFE"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28FC2048" w:rsidR="00DD292A" w:rsidRPr="00CF2E7C" w:rsidRDefault="00E72D8D" w:rsidP="00CF2E7C">
            <w:pPr>
              <w:rPr>
                <w:rFonts w:ascii="Calibri" w:hAnsi="Calibri" w:cs="Calibri"/>
              </w:rPr>
            </w:pPr>
            <w:r w:rsidRPr="00C927CA">
              <w:rPr>
                <w:rFonts w:ascii="Calibri" w:hAnsi="Calibri" w:cs="Calibri"/>
              </w:rPr>
              <w:t xml:space="preserve">SACCOs (UMWALIMU SACCO, MUGANGA SACCO, Umurenge SACCOs), and any other financial service providers regulated by the </w:t>
            </w:r>
            <w:r>
              <w:rPr>
                <w:rFonts w:ascii="Calibri" w:hAnsi="Calibri" w:cs="Calibri"/>
              </w:rPr>
              <w:t>National</w:t>
            </w:r>
            <w:r w:rsidRPr="00C927CA">
              <w:rPr>
                <w:rFonts w:ascii="Calibri" w:hAnsi="Calibri" w:cs="Calibri"/>
              </w:rPr>
              <w:t xml:space="preserve"> Bank</w:t>
            </w:r>
            <w:r>
              <w:rPr>
                <w:rFonts w:ascii="Calibri" w:hAnsi="Calibri" w:cs="Calibri"/>
              </w:rPr>
              <w:t xml:space="preserve"> of Rwanda</w:t>
            </w:r>
            <w:r w:rsidRPr="00C927CA">
              <w:rPr>
                <w:rFonts w:ascii="Calibri" w:hAnsi="Calibri" w:cs="Calibri"/>
              </w:rPr>
              <w:t>.</w:t>
            </w:r>
            <w:r>
              <w:rPr>
                <w:rFonts w:ascii="Calibri" w:hAnsi="Calibri" w:cs="Calibri"/>
              </w:rPr>
              <w:t xml:space="preserve"> </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37E8D12D" w:rsidR="00DD292A" w:rsidRPr="00CF2E7C" w:rsidRDefault="00E72D8D" w:rsidP="00CF2E7C">
            <w:pPr>
              <w:rPr>
                <w:rFonts w:ascii="Calibri" w:hAnsi="Calibri" w:cs="Calibri"/>
              </w:rPr>
            </w:pPr>
            <w:r w:rsidRPr="00CF2E7C">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6FABBD70" w:rsidR="00DD292A" w:rsidRPr="00CF2E7C" w:rsidRDefault="00E72D8D" w:rsidP="00CF2E7C">
            <w:pPr>
              <w:rPr>
                <w:rFonts w:ascii="Calibri" w:hAnsi="Calibri" w:cs="Calibri"/>
              </w:rPr>
            </w:pPr>
            <w:r w:rsidRPr="00F22DF1">
              <w:t>The policy tool</w:t>
            </w:r>
            <w:r>
              <w:t xml:space="preserve"> </w:t>
            </w:r>
            <w:r w:rsidRPr="00F22DF1">
              <w:t>is specifically targeted at entities within the "Financial and insurance activities" sector. The targeted entities are defined as follows</w:t>
            </w:r>
            <w:r>
              <w:t xml:space="preserve">: </w:t>
            </w:r>
            <w:r w:rsidRPr="00E15B5B">
              <w:t>banks, deposit-taking microfinance institutions, insurers, pension schemes, and non-deposit-taking financial service providers</w:t>
            </w:r>
            <w:r>
              <w:t xml:space="preserve"> that grant or provides loans or similar services or products, if and to the extent that such reporting entity is regulated by the National Bank of Rwanda. </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lastRenderedPageBreak/>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529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2683A196" w:rsidR="00DD292A" w:rsidRPr="00CF2E7C" w:rsidRDefault="00E72D8D" w:rsidP="00CF2E7C">
            <w:pPr>
              <w:rPr>
                <w:rFonts w:ascii="Calibri" w:hAnsi="Calibri" w:cs="Calibri"/>
              </w:rPr>
            </w:pPr>
            <w:r w:rsidRPr="00FC39F7">
              <w:rPr>
                <w:color w:val="EE0000"/>
              </w:rPr>
              <w:t xml:space="preserve">There is no express definition of the threshold. It applies to all financial institutions described above provided that they’re licensed by the National Bank of Rwanda in accordance with requirements stipulated in their respective governing legal instruments.  </w:t>
            </w:r>
            <w:r>
              <w:rPr>
                <w:color w:val="EE0000"/>
              </w:rPr>
              <w:t xml:space="preserve"> </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09148AB0" w:rsidR="00DD292A" w:rsidRPr="00CF2E7C" w:rsidRDefault="00E72D8D" w:rsidP="00CF2E7C">
            <w:pPr>
              <w:rPr>
                <w:rFonts w:ascii="Calibri" w:hAnsi="Calibri" w:cs="Calibri"/>
              </w:rPr>
            </w:pPr>
            <w:r w:rsidRPr="00CF2E7C">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37C8508B" w:rsidR="00DD3B33" w:rsidRPr="00CF2E7C" w:rsidRDefault="00D41626" w:rsidP="00CF2E7C">
            <w:pPr>
              <w:rPr>
                <w:rFonts w:ascii="Calibri" w:hAnsi="Calibri" w:cs="Calibri"/>
              </w:rPr>
            </w:pPr>
            <w:r w:rsidRPr="00CF2E7C">
              <w:rPr>
                <w:rFonts w:ascii="Calibri" w:hAnsi="Calibri" w:cs="Calibri"/>
              </w:rPr>
              <w:t>X</w:t>
            </w: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2795E57B" w:rsidR="00DD3B33" w:rsidRPr="00CF2E7C" w:rsidRDefault="00D41626" w:rsidP="00CF2E7C">
            <w:pPr>
              <w:rPr>
                <w:rFonts w:ascii="Calibri" w:hAnsi="Calibri" w:cs="Calibri"/>
              </w:rPr>
            </w:pPr>
            <w:r>
              <w:t>Refer to the article 22(2). It states that n</w:t>
            </w:r>
            <w:r w:rsidRPr="00191F09">
              <w:t>on-compliance with the provisions of these guidelines (policy tool) may lead to supervisory corrective actions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121C9080" w:rsidR="00DD292A" w:rsidRPr="00CF2E7C" w:rsidRDefault="005B2144" w:rsidP="00CF2E7C">
            <w:pPr>
              <w:rPr>
                <w:rFonts w:ascii="Calibri" w:hAnsi="Calibri" w:cs="Calibri"/>
              </w:rPr>
            </w:pPr>
            <w:r w:rsidRPr="00CF2E7C">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58C66B32" w:rsidR="00DD292A" w:rsidRPr="00CF2E7C" w:rsidRDefault="005B2144" w:rsidP="00CF2E7C">
            <w:pPr>
              <w:rPr>
                <w:rFonts w:ascii="Calibri" w:hAnsi="Calibri" w:cs="Calibri"/>
              </w:rPr>
            </w:pPr>
            <w:r w:rsidRPr="00CF2E7C">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lastRenderedPageBreak/>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DACF9B3" w:rsidR="00DD292A" w:rsidRPr="00CF2E7C" w:rsidRDefault="005B2144" w:rsidP="00CF2E7C">
            <w:pPr>
              <w:rPr>
                <w:rFonts w:ascii="Calibri" w:hAnsi="Calibri" w:cs="Calibri"/>
              </w:rPr>
            </w:pPr>
            <w:r w:rsidRPr="00CF2E7C">
              <w:rPr>
                <w:rFonts w:ascii="Calibri" w:hAnsi="Calibri" w:cs="Calibri"/>
              </w:rPr>
              <w:t>No known involvement in litigation</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FFA4CDD" w:rsidR="00410853"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E568242" w:rsidR="00410853"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7FFACEC4" w:rsidR="00410853"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0769DAE0" w:rsidR="00F632FB"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D844672" w:rsidR="00F632FB"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4892223B" w:rsidR="00F632FB"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735BB40" w:rsidR="00F632FB" w:rsidRPr="00CF2E7C" w:rsidRDefault="005B214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33BCB3B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5233C4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0DC2010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50069E59"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0C8057CE" w:rsidR="004E56CE" w:rsidRPr="00CF2E7C" w:rsidRDefault="004E56CE" w:rsidP="00982BBA">
            <w:pPr>
              <w:jc w:val="both"/>
              <w:textAlignment w:val="baseline"/>
              <w:rPr>
                <w:rFonts w:ascii="Calibri" w:eastAsia="Times New Roman" w:hAnsi="Calibri" w:cs="Calibri"/>
                <w:kern w:val="0"/>
                <w:lang w:eastAsia="en-GB"/>
                <w14:ligatures w14:val="none"/>
              </w:rPr>
            </w:pPr>
            <w:r w:rsidRPr="004E56CE">
              <w:rPr>
                <w:rFonts w:ascii="Calibri" w:eastAsia="Times New Roman" w:hAnsi="Calibri" w:cs="Calibri"/>
                <w:kern w:val="0"/>
                <w:lang w:eastAsia="en-GB"/>
                <w14:ligatures w14:val="none"/>
              </w:rPr>
              <w:t>The policy tool addresses the incidence of climate-related financial risks on targeted entities by embedding these risks into governance structures, risk management frameworks, scenario analysis, and disclosure practices. The approach is comprehensive, requiring ongoing assessment, mitigation, and transparent reporting, with oversight from both internal governance bodies and the Central Bank. This ensures that financial institutions are resilient to the financial impacts of climate change and environmental degradation, and that they contribute to national and global climate objectives</w:t>
            </w:r>
            <w:r>
              <w:rPr>
                <w:rFonts w:ascii="Calibri" w:eastAsia="Times New Roman" w:hAnsi="Calibri" w:cs="Calibri"/>
                <w:kern w:val="0"/>
                <w:lang w:eastAsia="en-GB"/>
                <w14:ligatures w14:val="none"/>
              </w:rPr>
              <w:t xml:space="preserve">. Refer to </w:t>
            </w:r>
            <w:r w:rsidRPr="004E56CE">
              <w:rPr>
                <w:rFonts w:ascii="Calibri" w:eastAsia="Times New Roman" w:hAnsi="Calibri" w:cs="Calibri"/>
                <w:kern w:val="0"/>
                <w:lang w:eastAsia="en-GB"/>
                <w14:ligatures w14:val="none"/>
              </w:rPr>
              <w:t>Article 6</w:t>
            </w:r>
            <w:r>
              <w:rPr>
                <w:rFonts w:ascii="Calibri" w:eastAsia="Times New Roman" w:hAnsi="Calibri" w:cs="Calibri"/>
                <w:kern w:val="0"/>
                <w:lang w:eastAsia="en-GB"/>
                <w14:ligatures w14:val="none"/>
              </w:rPr>
              <w:t xml:space="preserve">, </w:t>
            </w:r>
            <w:r w:rsidRPr="004E56CE">
              <w:rPr>
                <w:rFonts w:ascii="Calibri" w:eastAsia="Times New Roman" w:hAnsi="Calibri" w:cs="Calibri"/>
                <w:kern w:val="0"/>
                <w:lang w:eastAsia="en-GB"/>
                <w14:ligatures w14:val="none"/>
              </w:rPr>
              <w:t>7</w:t>
            </w:r>
            <w:r>
              <w:rPr>
                <w:rFonts w:ascii="Calibri" w:eastAsia="Times New Roman" w:hAnsi="Calibri" w:cs="Calibri"/>
                <w:kern w:val="0"/>
                <w:lang w:eastAsia="en-GB"/>
                <w14:ligatures w14:val="none"/>
              </w:rPr>
              <w:t xml:space="preserve">, 9, 10,11 12, </w:t>
            </w:r>
            <w:r w:rsidRPr="004E56CE">
              <w:rPr>
                <w:rFonts w:ascii="Calibri" w:eastAsia="Times New Roman" w:hAnsi="Calibri" w:cs="Calibri"/>
                <w:kern w:val="0"/>
                <w:lang w:eastAsia="en-GB"/>
                <w14:ligatures w14:val="none"/>
              </w:rPr>
              <w:t>14</w:t>
            </w:r>
            <w:r>
              <w:rPr>
                <w:rFonts w:ascii="Calibri" w:eastAsia="Times New Roman" w:hAnsi="Calibri" w:cs="Calibri"/>
                <w:kern w:val="0"/>
                <w:lang w:eastAsia="en-GB"/>
                <w14:ligatures w14:val="none"/>
              </w:rPr>
              <w:t xml:space="preserve"> and 15-21.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6509F468" w:rsidR="007D2359" w:rsidRPr="00CF2E7C" w:rsidRDefault="007D2359" w:rsidP="007D2359">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7D2359">
              <w:rPr>
                <w:rFonts w:ascii="Calibri" w:eastAsia="Times New Roman" w:hAnsi="Calibri" w:cs="Calibri"/>
                <w:kern w:val="0"/>
                <w:lang w:eastAsia="en-GB"/>
                <w14:ligatures w14:val="none"/>
              </w:rPr>
              <w:t>h</w:t>
            </w:r>
            <w:r>
              <w:rPr>
                <w:rFonts w:ascii="Calibri" w:eastAsia="Times New Roman" w:hAnsi="Calibri" w:cs="Calibri"/>
                <w:kern w:val="0"/>
                <w:lang w:eastAsia="en-GB"/>
                <w14:ligatures w14:val="none"/>
              </w:rPr>
              <w:t>is</w:t>
            </w:r>
            <w:r w:rsidRPr="007D2359">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tool </w:t>
            </w:r>
            <w:r w:rsidRPr="007D2359">
              <w:rPr>
                <w:rFonts w:ascii="Calibri" w:eastAsia="Times New Roman" w:hAnsi="Calibri" w:cs="Calibri"/>
                <w:kern w:val="0"/>
                <w:lang w:eastAsia="en-GB"/>
                <w14:ligatures w14:val="none"/>
              </w:rPr>
              <w:t>explicitly acknowledge the influence and guidance of international standard-setting bodies, including the Basel Committee on Banking Supervision (BCBS)</w:t>
            </w:r>
            <w:r>
              <w:rPr>
                <w:rFonts w:ascii="Calibri" w:eastAsia="Times New Roman" w:hAnsi="Calibri" w:cs="Calibri"/>
                <w:kern w:val="0"/>
                <w:lang w:eastAsia="en-GB"/>
                <w14:ligatures w14:val="none"/>
              </w:rPr>
              <w:t xml:space="preserve">, however, </w:t>
            </w:r>
            <w:r w:rsidRPr="007D2359">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 xml:space="preserve">it </w:t>
            </w:r>
            <w:r w:rsidRPr="007D2359">
              <w:rPr>
                <w:rFonts w:ascii="Calibri" w:eastAsia="Times New Roman" w:hAnsi="Calibri" w:cs="Calibri"/>
                <w:kern w:val="0"/>
                <w:lang w:eastAsia="en-GB"/>
                <w14:ligatures w14:val="none"/>
              </w:rPr>
              <w:t xml:space="preserve"> do</w:t>
            </w:r>
            <w:r>
              <w:rPr>
                <w:rFonts w:ascii="Calibri" w:eastAsia="Times New Roman" w:hAnsi="Calibri" w:cs="Calibri"/>
                <w:kern w:val="0"/>
                <w:lang w:eastAsia="en-GB"/>
                <w14:ligatures w14:val="none"/>
              </w:rPr>
              <w:t>es</w:t>
            </w:r>
            <w:r w:rsidRPr="007D2359">
              <w:rPr>
                <w:rFonts w:ascii="Calibri" w:eastAsia="Times New Roman" w:hAnsi="Calibri" w:cs="Calibri"/>
                <w:kern w:val="0"/>
                <w:lang w:eastAsia="en-GB"/>
                <w14:ligatures w14:val="none"/>
              </w:rPr>
              <w:t xml:space="preserve"> not explicitly enumerate the three Basel pillars (Pillar 1: Minimum Capital Requirements, Pillar 2: Supervisory Review Process, Pillar 3: Market Discipline) in a section-by-section manner</w:t>
            </w:r>
            <w:r>
              <w:rPr>
                <w:rFonts w:ascii="Calibri" w:eastAsia="Times New Roman" w:hAnsi="Calibri" w:cs="Calibri"/>
                <w:kern w:val="0"/>
                <w:lang w:eastAsia="en-GB"/>
                <w14:ligatures w14:val="none"/>
              </w:rPr>
              <w:t xml:space="preserve"> therein.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412AA862" w:rsidR="007B7DEE" w:rsidRPr="00CF2E7C" w:rsidRDefault="00535AE5" w:rsidP="00CF2E7C">
            <w:pPr>
              <w:textAlignment w:val="baseline"/>
              <w:rPr>
                <w:rFonts w:ascii="Calibri" w:eastAsia="Times New Roman" w:hAnsi="Calibri" w:cs="Calibri"/>
                <w:kern w:val="0"/>
                <w:lang w:eastAsia="en-GB"/>
                <w14:ligatures w14:val="none"/>
              </w:rPr>
            </w:pPr>
            <w:r w:rsidRPr="00535AE5">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B3E8E17" w:rsidR="00ED7E12" w:rsidRPr="00CF2E7C" w:rsidRDefault="0094178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8E4DF96" w:rsidR="00ED7E12" w:rsidRPr="00CF2E7C" w:rsidRDefault="0094178A"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12F7ED75" w:rsidR="00ED7E12" w:rsidRPr="00CF2E7C" w:rsidRDefault="00FC766B" w:rsidP="00CF2E7C">
            <w:pPr>
              <w:textAlignment w:val="baseline"/>
              <w:rPr>
                <w:rFonts w:ascii="Calibri" w:eastAsia="Times New Roman" w:hAnsi="Calibri" w:cs="Calibri"/>
                <w:kern w:val="0"/>
                <w:lang w:eastAsia="en-GB"/>
                <w14:ligatures w14:val="none"/>
              </w:rPr>
            </w:pPr>
            <w:r w:rsidRPr="00FC766B">
              <w:rPr>
                <w:rFonts w:ascii="Calibri" w:eastAsia="Times New Roman" w:hAnsi="Calibri" w:cs="Calibri"/>
                <w:kern w:val="0"/>
                <w:lang w:eastAsia="en-GB"/>
                <w14:ligatures w14:val="none"/>
              </w:rPr>
              <w:t>The policy tool</w:t>
            </w:r>
            <w:r>
              <w:rPr>
                <w:rFonts w:ascii="Calibri" w:eastAsia="Times New Roman" w:hAnsi="Calibri" w:cs="Calibri"/>
                <w:kern w:val="0"/>
                <w:lang w:eastAsia="en-GB"/>
                <w14:ligatures w14:val="none"/>
              </w:rPr>
              <w:t xml:space="preserve"> </w:t>
            </w:r>
            <w:r w:rsidRPr="00FC766B">
              <w:rPr>
                <w:rFonts w:ascii="Calibri" w:eastAsia="Times New Roman" w:hAnsi="Calibri" w:cs="Calibri"/>
                <w:kern w:val="0"/>
                <w:lang w:eastAsia="en-GB"/>
                <w14:ligatures w14:val="none"/>
              </w:rPr>
              <w:t>monitors and verifies compliance with obligations imposed on regulated entities through two principal mechanisms: self-reporting by the entities themselves and regulatory oversight by the financial supervisor</w:t>
            </w:r>
            <w:r>
              <w:rPr>
                <w:rFonts w:ascii="Calibri" w:eastAsia="Times New Roman" w:hAnsi="Calibri" w:cs="Calibri"/>
                <w:kern w:val="0"/>
                <w:lang w:eastAsia="en-GB"/>
                <w14:ligatures w14:val="none"/>
              </w:rPr>
              <w:t xml:space="preserve">. </w:t>
            </w:r>
            <w:r w:rsidRPr="00FC766B">
              <w:rPr>
                <w:rFonts w:ascii="Calibri" w:eastAsia="Times New Roman" w:hAnsi="Calibri" w:cs="Calibri"/>
                <w:kern w:val="0"/>
                <w:lang w:eastAsia="en-GB"/>
                <w14:ligatures w14:val="none"/>
              </w:rPr>
              <w:t>Regulated financial institutions are required to conduct regular self-assessments of their exposure to climate-related and environmental financial risks</w:t>
            </w:r>
            <w:r>
              <w:rPr>
                <w:rFonts w:ascii="Calibri" w:eastAsia="Times New Roman" w:hAnsi="Calibri" w:cs="Calibri"/>
                <w:kern w:val="0"/>
                <w:lang w:eastAsia="en-GB"/>
                <w14:ligatures w14:val="none"/>
              </w:rPr>
              <w:t xml:space="preserve"> (article 21)</w:t>
            </w:r>
            <w:r w:rsidRPr="00FC766B">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Pr="00FC766B">
              <w:rPr>
                <w:rFonts w:ascii="Calibri" w:eastAsia="Times New Roman" w:hAnsi="Calibri" w:cs="Calibri"/>
                <w:kern w:val="0"/>
                <w:lang w:eastAsia="en-GB"/>
                <w14:ligatures w14:val="none"/>
              </w:rPr>
              <w:t>The National Bank of Rwanda, as the financial supervisor, is responsible for monitoring and verifying compliance with the guideline</w:t>
            </w:r>
            <w:r>
              <w:rPr>
                <w:rFonts w:ascii="Calibri" w:eastAsia="Times New Roman" w:hAnsi="Calibri" w:cs="Calibri"/>
                <w:kern w:val="0"/>
                <w:lang w:eastAsia="en-GB"/>
                <w14:ligatures w14:val="none"/>
              </w:rPr>
              <w:t xml:space="preserve"> by using</w:t>
            </w:r>
            <w:r w:rsidRPr="00FC766B">
              <w:rPr>
                <w:rFonts w:ascii="Calibri" w:eastAsia="Times New Roman" w:hAnsi="Calibri" w:cs="Calibri"/>
                <w:kern w:val="0"/>
                <w:lang w:eastAsia="en-GB"/>
                <w14:ligatures w14:val="none"/>
              </w:rPr>
              <w:t xml:space="preserve"> its supervisory tools, including both off-site and on-site supervision, to ensure that financial institutions comply with the obligations set out in the guidelines</w:t>
            </w:r>
            <w:r>
              <w:rPr>
                <w:rFonts w:ascii="Calibri" w:eastAsia="Times New Roman" w:hAnsi="Calibri" w:cs="Calibri"/>
                <w:kern w:val="0"/>
                <w:lang w:eastAsia="en-GB"/>
                <w14:ligatures w14:val="none"/>
              </w:rPr>
              <w:t xml:space="preserve"> and n</w:t>
            </w:r>
            <w:r w:rsidRPr="00FC766B">
              <w:rPr>
                <w:rFonts w:ascii="Calibri" w:eastAsia="Times New Roman" w:hAnsi="Calibri" w:cs="Calibri"/>
                <w:kern w:val="0"/>
                <w:lang w:eastAsia="en-GB"/>
                <w14:ligatures w14:val="none"/>
              </w:rPr>
              <w:t>on-compliance may result in supervisory corrective actions</w:t>
            </w:r>
            <w:r>
              <w:rPr>
                <w:rFonts w:ascii="Calibri" w:eastAsia="Times New Roman" w:hAnsi="Calibri" w:cs="Calibri"/>
                <w:kern w:val="0"/>
                <w:lang w:eastAsia="en-GB"/>
                <w14:ligatures w14:val="none"/>
              </w:rPr>
              <w:t xml:space="preserve"> (article 22)</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C113BE"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0C2161A1"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C2BFD91"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r>
      <w:tr w:rsidR="00C113BE"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5930C6B1"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15F99728"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65FE342A"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573B61B5"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C113BE" w:rsidRPr="00CF2E7C" w:rsidRDefault="00C113BE" w:rsidP="00C113BE">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requires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xml:space="preserve"> to incorporate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into their risk management and governance.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113BE"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C113BE" w:rsidRPr="00CF2E7C" w:rsidRDefault="00C113BE" w:rsidP="00C113BE">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C113BE" w:rsidRPr="00CF2E7C" w:rsidRDefault="00C113BE" w:rsidP="00C113BE">
            <w:pPr>
              <w:textAlignment w:val="baseline"/>
              <w:rPr>
                <w:rFonts w:ascii="Calibri" w:eastAsia="Times New Roman" w:hAnsi="Calibri" w:cs="Calibri"/>
                <w:kern w:val="0"/>
                <w:lang w:eastAsia="en-GB"/>
                <w14:ligatures w14:val="none"/>
              </w:rPr>
            </w:pPr>
          </w:p>
        </w:tc>
      </w:tr>
      <w:tr w:rsidR="00C113BE"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C113BE" w:rsidRPr="00CF2E7C" w:rsidRDefault="00C113BE" w:rsidP="00C113B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Pr="00CF2E7C">
              <w:rPr>
                <w:rFonts w:ascii="Calibri" w:hAnsi="Calibri" w:cs="Calibri"/>
              </w:rPr>
              <w:t xml:space="preserve"> Select the appropriate response using an X.   </w:t>
            </w:r>
          </w:p>
        </w:tc>
      </w:tr>
      <w:tr w:rsidR="00C113BE"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7E7B8B41" w:rsidR="00C113BE" w:rsidRPr="00CF2E7C" w:rsidRDefault="00EB7B01" w:rsidP="00C113BE">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113BE"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113BE" w:rsidRPr="00CF2E7C" w:rsidRDefault="00C113BE" w:rsidP="00C113BE">
            <w:pPr>
              <w:textAlignment w:val="baseline"/>
              <w:rPr>
                <w:rFonts w:ascii="Calibri" w:eastAsia="Times New Roman" w:hAnsi="Calibri" w:cs="Calibri"/>
                <w:kern w:val="0"/>
                <w:lang w:eastAsia="en-GB"/>
                <w14:ligatures w14:val="none"/>
              </w:rPr>
            </w:pPr>
          </w:p>
        </w:tc>
      </w:tr>
      <w:tr w:rsidR="00C113BE"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113BE" w:rsidRPr="00CF2E7C" w:rsidRDefault="00C113BE" w:rsidP="00C113BE">
            <w:pPr>
              <w:textAlignment w:val="baseline"/>
              <w:rPr>
                <w:rFonts w:ascii="Calibri" w:eastAsia="Times New Roman" w:hAnsi="Calibri" w:cs="Calibri"/>
                <w:kern w:val="0"/>
                <w:lang w:eastAsia="en-GB"/>
                <w14:ligatures w14:val="none"/>
              </w:rPr>
            </w:pPr>
          </w:p>
        </w:tc>
      </w:tr>
      <w:tr w:rsidR="00C113BE"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113BE" w:rsidRPr="00CF2E7C" w:rsidRDefault="00C113BE" w:rsidP="00C113B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113BE"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113BE" w:rsidRPr="00CF2E7C" w:rsidRDefault="00C113BE" w:rsidP="00C113BE">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3E58021" w14:textId="77777777" w:rsidR="00EB7B01" w:rsidRPr="00EB7B01" w:rsidRDefault="00EB7B01" w:rsidP="00EB7B01">
            <w:pPr>
              <w:numPr>
                <w:ilvl w:val="0"/>
                <w:numId w:val="52"/>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Requires financial institutions to develop a suitable approach for disclosing climate-related and environmental financial information, aligning at a minimum with IFRS S1 and S2.</w:t>
            </w:r>
          </w:p>
          <w:p w14:paraId="36712C35" w14:textId="77777777" w:rsidR="00EB7B01" w:rsidRPr="00EB7B01" w:rsidRDefault="00EB7B01" w:rsidP="00EB7B01">
            <w:pPr>
              <w:numPr>
                <w:ilvl w:val="0"/>
                <w:numId w:val="52"/>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Disclosures must include governance frameworks, strategic decision-making processes, risk management systems, and metrics and targets.</w:t>
            </w:r>
          </w:p>
          <w:p w14:paraId="2EB9CC44" w14:textId="77777777" w:rsidR="00EB7B01" w:rsidRPr="00EB7B01" w:rsidRDefault="00EB7B01" w:rsidP="00EB7B01">
            <w:pPr>
              <w:numPr>
                <w:ilvl w:val="0"/>
                <w:numId w:val="52"/>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Mandates disclosure of governance procedures and plans to oversee climate-related risks and opportunities, including the formation of dedicated teams and reporting to the board and senior management.</w:t>
            </w:r>
          </w:p>
          <w:p w14:paraId="28DE0C78" w14:textId="77777777" w:rsidR="00EB7B01" w:rsidRPr="00EB7B01" w:rsidRDefault="00EB7B01" w:rsidP="00EB7B01">
            <w:pPr>
              <w:numPr>
                <w:ilvl w:val="0"/>
                <w:numId w:val="52"/>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lastRenderedPageBreak/>
              <w:t>Requires disclosure of how climate-related risks are integrated into business strategy and risk management systems.</w:t>
            </w:r>
          </w:p>
          <w:p w14:paraId="6991212C" w14:textId="77777777" w:rsidR="00EB7B01" w:rsidRPr="00EB7B01" w:rsidRDefault="00EB7B01" w:rsidP="00EB7B01">
            <w:pPr>
              <w:numPr>
                <w:ilvl w:val="0"/>
                <w:numId w:val="52"/>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 xml:space="preserve">The disclosure requirements are phased in according to the type and size of financial institution: </w:t>
            </w:r>
          </w:p>
          <w:p w14:paraId="7FB27D0E" w14:textId="77777777" w:rsidR="00EB7B01" w:rsidRPr="00EB7B01" w:rsidRDefault="00EB7B01" w:rsidP="00EB7B01">
            <w:pPr>
              <w:numPr>
                <w:ilvl w:val="0"/>
                <w:numId w:val="53"/>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Tier I: Banks, general and life insurance, public pension, UMWALIMU SACCO (earliest deadlines);</w:t>
            </w:r>
          </w:p>
          <w:p w14:paraId="7D748DC0" w14:textId="77777777" w:rsidR="00EB7B01" w:rsidRPr="00EB7B01" w:rsidRDefault="00EB7B01" w:rsidP="00EB7B01">
            <w:pPr>
              <w:numPr>
                <w:ilvl w:val="0"/>
                <w:numId w:val="53"/>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Tier II: Deposit-taking microfinance, captive insurers, micro insurers, private pension schemes</w:t>
            </w:r>
          </w:p>
          <w:p w14:paraId="2A223F8D" w14:textId="5AC4CE6A" w:rsidR="00676212" w:rsidRDefault="00EB7B01" w:rsidP="00EB7B01">
            <w:pPr>
              <w:numPr>
                <w:ilvl w:val="0"/>
                <w:numId w:val="53"/>
              </w:numPr>
              <w:textAlignment w:val="baseline"/>
              <w:rPr>
                <w:rFonts w:ascii="Calibri" w:eastAsia="Times New Roman" w:hAnsi="Calibri" w:cs="Calibri"/>
                <w:kern w:val="0"/>
                <w:lang w:eastAsia="en-GB"/>
                <w14:ligatures w14:val="none"/>
              </w:rPr>
            </w:pPr>
            <w:r w:rsidRPr="00EB7B01">
              <w:rPr>
                <w:rFonts w:ascii="Calibri" w:eastAsia="Times New Roman" w:hAnsi="Calibri" w:cs="Calibri"/>
                <w:kern w:val="0"/>
                <w:lang w:eastAsia="en-GB"/>
                <w14:ligatures w14:val="none"/>
              </w:rPr>
              <w:t xml:space="preserve">Tier III: Non-deposit-taking financial service providers, MUGANGA SACCOs, </w:t>
            </w:r>
            <w:r w:rsidR="00BD3818" w:rsidRPr="00BD3818">
              <w:rPr>
                <w:rFonts w:ascii="Calibri" w:eastAsia="Times New Roman" w:hAnsi="Calibri" w:cs="Calibri"/>
                <w:kern w:val="0"/>
                <w:lang w:eastAsia="en-GB"/>
                <w14:ligatures w14:val="none"/>
              </w:rPr>
              <w:t>Mutual Insurers and Health Management Organizations</w:t>
            </w:r>
            <w:r w:rsidR="00BD3818">
              <w:rPr>
                <w:rFonts w:ascii="Calibri" w:eastAsia="Times New Roman" w:hAnsi="Calibri" w:cs="Calibri"/>
                <w:kern w:val="0"/>
                <w:lang w:eastAsia="en-GB"/>
                <w14:ligatures w14:val="none"/>
              </w:rPr>
              <w:t xml:space="preserve">. </w:t>
            </w:r>
          </w:p>
          <w:p w14:paraId="4DEB14D8" w14:textId="061D390C" w:rsidR="00C113BE" w:rsidRPr="00676212" w:rsidRDefault="00EB7B01" w:rsidP="00982BBA">
            <w:pPr>
              <w:numPr>
                <w:ilvl w:val="0"/>
                <w:numId w:val="53"/>
              </w:numPr>
              <w:textAlignment w:val="baseline"/>
              <w:rPr>
                <w:rFonts w:ascii="Calibri" w:eastAsia="Times New Roman" w:hAnsi="Calibri" w:cs="Calibri"/>
                <w:kern w:val="0"/>
                <w:lang w:eastAsia="en-GB"/>
                <w14:ligatures w14:val="none"/>
              </w:rPr>
            </w:pPr>
            <w:r w:rsidRPr="00676212">
              <w:rPr>
                <w:rFonts w:ascii="Calibri" w:eastAsia="Times New Roman" w:hAnsi="Calibri" w:cs="Calibri"/>
                <w:kern w:val="0"/>
                <w:lang w:eastAsia="en-GB"/>
                <w14:ligatures w14:val="none"/>
              </w:rPr>
              <w:t>Tier IV: Umurenge SACCOs and non-Umurenge SACCOs</w:t>
            </w:r>
          </w:p>
        </w:tc>
      </w:tr>
      <w:tr w:rsidR="00C113BE"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113BE" w:rsidRPr="00CF2E7C" w:rsidRDefault="00C113BE" w:rsidP="00C113B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a climate-risk assessment as part of the due diligence in its new client and transaction approval process? </w:t>
            </w:r>
            <w:r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10742DC" w:rsidR="00C113BE" w:rsidRPr="00CF2E7C" w:rsidRDefault="00EB7B01" w:rsidP="00C113BE">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C113BE"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113BE" w:rsidRPr="00CF2E7C" w:rsidRDefault="00C113BE" w:rsidP="00C113BE">
            <w:pPr>
              <w:textAlignment w:val="baseline"/>
              <w:rPr>
                <w:rFonts w:ascii="Calibri" w:eastAsia="Times New Roman" w:hAnsi="Calibri" w:cs="Calibri"/>
                <w:kern w:val="0"/>
                <w:lang w:eastAsia="en-GB"/>
                <w14:ligatures w14:val="none"/>
              </w:rPr>
            </w:pPr>
          </w:p>
        </w:tc>
      </w:tr>
      <w:tr w:rsidR="00C113BE"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113BE" w:rsidRPr="00CF2E7C" w:rsidRDefault="00C113BE" w:rsidP="00C113BE">
            <w:pPr>
              <w:textAlignment w:val="baseline"/>
              <w:rPr>
                <w:rFonts w:ascii="Calibri" w:eastAsia="Times New Roman" w:hAnsi="Calibri" w:cs="Calibri"/>
                <w:kern w:val="0"/>
                <w:lang w:eastAsia="en-GB"/>
                <w14:ligatures w14:val="none"/>
              </w:rPr>
            </w:pPr>
          </w:p>
        </w:tc>
      </w:tr>
      <w:tr w:rsidR="00C113BE"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113BE" w:rsidRPr="00CF2E7C" w:rsidRDefault="00C113BE" w:rsidP="00C113B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113BE"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113BE" w:rsidRPr="00CF2E7C" w:rsidRDefault="00C113BE" w:rsidP="00C113BE">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239CE0CD" w:rsidR="00C113BE" w:rsidRPr="00CF2E7C" w:rsidRDefault="00C557EB" w:rsidP="00C113BE">
            <w:pPr>
              <w:textAlignment w:val="baseline"/>
              <w:rPr>
                <w:rFonts w:ascii="Calibri" w:eastAsia="Times New Roman" w:hAnsi="Calibri" w:cs="Calibri"/>
                <w:kern w:val="0"/>
                <w:lang w:eastAsia="en-GB"/>
                <w14:ligatures w14:val="none"/>
              </w:rPr>
            </w:pPr>
            <w:r w:rsidRPr="00DE2756">
              <w:rPr>
                <w:rFonts w:ascii="Calibri" w:eastAsia="Times New Roman" w:hAnsi="Calibri" w:cs="Calibri"/>
                <w:kern w:val="0"/>
                <w:lang w:eastAsia="en-GB"/>
                <w14:ligatures w14:val="none"/>
              </w:rPr>
              <w:t xml:space="preserve">A </w:t>
            </w:r>
            <w:r>
              <w:rPr>
                <w:rFonts w:ascii="Calibri" w:eastAsia="Times New Roman" w:hAnsi="Calibri" w:cs="Calibri"/>
                <w:kern w:val="0"/>
                <w:lang w:eastAsia="en-GB"/>
                <w14:ligatures w14:val="none"/>
              </w:rPr>
              <w:t>F</w:t>
            </w:r>
            <w:r w:rsidRPr="00DE2756">
              <w:rPr>
                <w:rFonts w:ascii="Calibri" w:eastAsia="Times New Roman" w:hAnsi="Calibri" w:cs="Calibri"/>
                <w:kern w:val="0"/>
                <w:lang w:eastAsia="en-GB"/>
                <w14:ligatures w14:val="none"/>
              </w:rPr>
              <w:t>inancial Institution should integrate consideration of these risks throughout the entire credit life cycle, including client due diligence during onboarding and ongoing risk profile monitoring.</w:t>
            </w:r>
            <w:r>
              <w:rPr>
                <w:rFonts w:ascii="Calibri" w:eastAsia="Times New Roman" w:hAnsi="Calibri" w:cs="Calibri"/>
                <w:kern w:val="0"/>
                <w:lang w:eastAsia="en-GB"/>
                <w14:ligatures w14:val="none"/>
              </w:rPr>
              <w:t xml:space="preserve"> Article 10 of the 2023 guidelines. </w:t>
            </w:r>
          </w:p>
        </w:tc>
      </w:tr>
      <w:tr w:rsidR="00C113BE"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113BE" w:rsidRPr="00CF2E7C" w:rsidRDefault="00C113BE" w:rsidP="00C113BE">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 using an X.</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113BE"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113BE" w:rsidRPr="00CF2E7C" w:rsidRDefault="00C113BE" w:rsidP="00C113B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D07B6"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1C20438F"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ml:space="preserve"> X</w:t>
            </w:r>
          </w:p>
        </w:tc>
      </w:tr>
      <w:tr w:rsidR="00CD07B6"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D07B6" w:rsidRPr="00CF2E7C" w:rsidRDefault="00CD07B6" w:rsidP="00CD07B6">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1CCC8085"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ml:space="preserve"> X</w:t>
            </w:r>
          </w:p>
        </w:tc>
      </w:tr>
      <w:tr w:rsidR="00CD07B6"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6C6B314D"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ml:space="preserve"> X</w:t>
            </w:r>
          </w:p>
        </w:tc>
      </w:tr>
      <w:tr w:rsidR="00CD07B6"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674F3FA5"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xml:space="preserve"> X</w:t>
            </w:r>
          </w:p>
        </w:tc>
      </w:tr>
      <w:tr w:rsidR="00CD07B6"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D07B6"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D07B6" w:rsidRPr="00CF2E7C" w:rsidRDefault="00CD07B6" w:rsidP="00CD07B6">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D07B6" w:rsidRPr="00CF2E7C" w:rsidRDefault="00CD07B6" w:rsidP="00CD07B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D07B6"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D07B6" w:rsidRPr="00CF2E7C" w:rsidRDefault="00CD07B6" w:rsidP="00CD07B6">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D07B6" w:rsidRPr="00CF2E7C" w:rsidRDefault="00CD07B6" w:rsidP="00CD07B6">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54627927" w:rsidR="00655FF7" w:rsidRPr="00CF2E7C" w:rsidRDefault="00CD07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280C53E8" w:rsidR="003032A9" w:rsidRPr="00CF2E7C" w:rsidRDefault="00CD07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70411D9" w:rsidR="00BE1F9E" w:rsidRPr="00CF2E7C" w:rsidRDefault="00CD07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5943C352" w:rsidR="00BE1F9E" w:rsidRPr="00CF2E7C" w:rsidRDefault="00CD07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0C6592C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D07B6" w:rsidRPr="00CF2E7C">
              <w:rPr>
                <w:rFonts w:ascii="Calibri" w:eastAsia="Times New Roman" w:hAnsi="Calibri" w:cs="Calibri"/>
                <w:kern w:val="0"/>
                <w:lang w:eastAsia="en-GB"/>
                <w14:ligatures w14:val="none"/>
              </w:rPr>
              <w:t xml:space="preserve"> 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E38E818" w14:textId="71EDFADA" w:rsidR="009B7894" w:rsidRDefault="009B7894" w:rsidP="00982BB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tool </w:t>
            </w:r>
            <w:r w:rsidRPr="009B7894">
              <w:rPr>
                <w:rFonts w:ascii="Calibri" w:eastAsia="Times New Roman" w:hAnsi="Calibri" w:cs="Calibri"/>
                <w:kern w:val="0"/>
                <w:lang w:eastAsia="en-GB"/>
                <w14:ligatures w14:val="none"/>
              </w:rPr>
              <w:t>provide</w:t>
            </w:r>
            <w:r>
              <w:rPr>
                <w:rFonts w:ascii="Calibri" w:eastAsia="Times New Roman" w:hAnsi="Calibri" w:cs="Calibri"/>
                <w:kern w:val="0"/>
                <w:lang w:eastAsia="en-GB"/>
                <w14:ligatures w14:val="none"/>
              </w:rPr>
              <w:t>s</w:t>
            </w:r>
            <w:r w:rsidRPr="009B7894">
              <w:rPr>
                <w:rFonts w:ascii="Calibri" w:eastAsia="Times New Roman" w:hAnsi="Calibri" w:cs="Calibri"/>
                <w:kern w:val="0"/>
                <w:lang w:eastAsia="en-GB"/>
                <w14:ligatures w14:val="none"/>
              </w:rPr>
              <w:t xml:space="preserve"> a structured approach for financial institutions to select scenarios for stress-testing and scenario analysis. The relevant requirements and guidance are primarily found in Article 14 and Annex 4 of the </w:t>
            </w:r>
            <w:r>
              <w:rPr>
                <w:rFonts w:ascii="Calibri" w:eastAsia="Times New Roman" w:hAnsi="Calibri" w:cs="Calibri"/>
                <w:kern w:val="0"/>
                <w:lang w:eastAsia="en-GB"/>
                <w14:ligatures w14:val="none"/>
              </w:rPr>
              <w:t>tool</w:t>
            </w:r>
            <w:r w:rsidRPr="009B7894">
              <w:rPr>
                <w:rFonts w:ascii="Calibri" w:eastAsia="Times New Roman" w:hAnsi="Calibri" w:cs="Calibri"/>
                <w:kern w:val="0"/>
                <w:lang w:eastAsia="en-GB"/>
                <w14:ligatures w14:val="none"/>
              </w:rPr>
              <w:t>.</w:t>
            </w:r>
          </w:p>
          <w:p w14:paraId="1D6B0EE5" w14:textId="2A6F5A4F" w:rsidR="009B7894" w:rsidRDefault="009B7894" w:rsidP="00982BB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It requires to: e</w:t>
            </w:r>
            <w:r w:rsidRPr="009B7894">
              <w:rPr>
                <w:rFonts w:ascii="Calibri" w:eastAsia="Times New Roman" w:hAnsi="Calibri" w:cs="Calibri"/>
                <w:kern w:val="0"/>
                <w:lang w:eastAsia="en-GB"/>
                <w14:ligatures w14:val="none"/>
              </w:rPr>
              <w:t>xplore the impacts of climate change and the transition to a low-carbon economy on the institution’s strategy and business model resilience</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Identify relevant climate-related and environmental financial risk factors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Measure vulnerability to these risks and estimate exposures and potential losses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Diagnose data and methodological limitations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Inform the adequacy of the institution’s risk management framework, including mitigation options.</w:t>
            </w:r>
          </w:p>
          <w:p w14:paraId="1AFF445E" w14:textId="77777777" w:rsidR="009B7894" w:rsidRDefault="009B7894" w:rsidP="00982BBA">
            <w:pPr>
              <w:jc w:val="both"/>
              <w:textAlignment w:val="baseline"/>
              <w:rPr>
                <w:rFonts w:ascii="Calibri" w:eastAsia="Times New Roman" w:hAnsi="Calibri" w:cs="Calibri"/>
                <w:kern w:val="0"/>
                <w:lang w:eastAsia="en-GB"/>
                <w14:ligatures w14:val="none"/>
              </w:rPr>
            </w:pPr>
            <w:r w:rsidRPr="009B7894">
              <w:rPr>
                <w:rFonts w:ascii="Calibri" w:eastAsia="Times New Roman" w:hAnsi="Calibri" w:cs="Calibri"/>
                <w:kern w:val="0"/>
                <w:lang w:eastAsia="en-GB"/>
                <w14:ligatures w14:val="none"/>
              </w:rPr>
              <w:t>Institutions are expected to apply scenario analysis and stress testing as a tool to validate risk identification and understand exposures to climate-related and environmental financial risks.</w:t>
            </w:r>
          </w:p>
          <w:p w14:paraId="32D89C04" w14:textId="7A2D957E" w:rsidR="009B7894" w:rsidRDefault="009B7894" w:rsidP="00982BBA">
            <w:pPr>
              <w:jc w:val="both"/>
              <w:textAlignment w:val="baseline"/>
              <w:rPr>
                <w:rFonts w:ascii="Calibri" w:eastAsia="Times New Roman" w:hAnsi="Calibri" w:cs="Calibri"/>
                <w:kern w:val="0"/>
                <w:lang w:eastAsia="en-GB"/>
                <w14:ligatures w14:val="none"/>
              </w:rPr>
            </w:pPr>
            <w:r w:rsidRPr="009B7894">
              <w:rPr>
                <w:rFonts w:ascii="Calibri" w:eastAsia="Times New Roman" w:hAnsi="Calibri" w:cs="Calibri"/>
                <w:kern w:val="0"/>
                <w:lang w:eastAsia="en-GB"/>
                <w14:ligatures w14:val="none"/>
              </w:rPr>
              <w:t>When selecting scenarios, institutions must consider</w:t>
            </w:r>
            <w:r>
              <w:rPr>
                <w:rFonts w:ascii="Calibri" w:eastAsia="Times New Roman" w:hAnsi="Calibri" w:cs="Calibri"/>
                <w:kern w:val="0"/>
                <w:lang w:eastAsia="en-GB"/>
                <w14:ligatures w14:val="none"/>
              </w:rPr>
              <w:t>: t</w:t>
            </w:r>
            <w:r w:rsidRPr="009B7894">
              <w:rPr>
                <w:rFonts w:ascii="Calibri" w:eastAsia="Times New Roman" w:hAnsi="Calibri" w:cs="Calibri"/>
                <w:kern w:val="0"/>
                <w:lang w:eastAsia="en-GB"/>
                <w14:ligatures w14:val="none"/>
              </w:rPr>
              <w:t>he results of several transitional pathways and different channels, including both physical and transition risks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Short, medium, and long-term time periods associated with climate-related and environmental financial risks</w:t>
            </w:r>
            <w:r>
              <w:rPr>
                <w:rFonts w:ascii="Calibri" w:eastAsia="Times New Roman" w:hAnsi="Calibri" w:cs="Calibri"/>
                <w:kern w:val="0"/>
                <w:lang w:eastAsia="en-GB"/>
                <w14:ligatures w14:val="none"/>
              </w:rPr>
              <w:t xml:space="preserve">; </w:t>
            </w:r>
            <w:r w:rsidRPr="009B7894">
              <w:rPr>
                <w:rFonts w:ascii="Calibri" w:eastAsia="Times New Roman" w:hAnsi="Calibri" w:cs="Calibri"/>
                <w:kern w:val="0"/>
                <w:lang w:eastAsia="en-GB"/>
                <w14:ligatures w14:val="none"/>
              </w:rPr>
              <w:t>Both historical data and forward-looking information</w:t>
            </w:r>
            <w:r>
              <w:rPr>
                <w:rFonts w:ascii="Calibri" w:eastAsia="Times New Roman" w:hAnsi="Calibri" w:cs="Calibri"/>
                <w:kern w:val="0"/>
                <w:lang w:eastAsia="en-GB"/>
                <w14:ligatures w14:val="none"/>
              </w:rPr>
              <w:t>; and t</w:t>
            </w:r>
            <w:r w:rsidRPr="009B7894">
              <w:rPr>
                <w:rFonts w:ascii="Calibri" w:eastAsia="Times New Roman" w:hAnsi="Calibri" w:cs="Calibri"/>
                <w:kern w:val="0"/>
                <w:lang w:eastAsia="en-GB"/>
                <w14:ligatures w14:val="none"/>
              </w:rPr>
              <w:t>he potential effects of various scenarios on income, assets, counterparties, liquidity, and capital positions</w:t>
            </w:r>
            <w:r>
              <w:rPr>
                <w:rFonts w:ascii="Calibri" w:eastAsia="Times New Roman" w:hAnsi="Calibri" w:cs="Calibri"/>
                <w:kern w:val="0"/>
                <w:lang w:eastAsia="en-GB"/>
                <w14:ligatures w14:val="none"/>
              </w:rPr>
              <w:t xml:space="preserve">. </w:t>
            </w:r>
          </w:p>
          <w:p w14:paraId="5812AF20" w14:textId="77777777" w:rsidR="009B7894" w:rsidRDefault="009B7894" w:rsidP="00CD07B6">
            <w:pPr>
              <w:textAlignment w:val="baseline"/>
              <w:rPr>
                <w:rFonts w:ascii="Calibri" w:eastAsia="Times New Roman" w:hAnsi="Calibri" w:cs="Calibri"/>
                <w:kern w:val="0"/>
                <w:lang w:eastAsia="en-GB"/>
                <w14:ligatures w14:val="none"/>
              </w:rPr>
            </w:pPr>
          </w:p>
          <w:p w14:paraId="4909B7DD" w14:textId="77777777" w:rsidR="009B7894" w:rsidRDefault="009B7894" w:rsidP="00CD07B6">
            <w:pPr>
              <w:textAlignment w:val="baseline"/>
              <w:rPr>
                <w:rFonts w:ascii="Calibri" w:eastAsia="Times New Roman" w:hAnsi="Calibri" w:cs="Calibri"/>
                <w:kern w:val="0"/>
                <w:lang w:eastAsia="en-GB"/>
                <w14:ligatures w14:val="none"/>
              </w:rPr>
            </w:pPr>
          </w:p>
          <w:p w14:paraId="5C18CF55" w14:textId="33F13EF9" w:rsidR="00BE1F9E" w:rsidRPr="00CF2E7C" w:rsidRDefault="00CD07B6" w:rsidP="00CD07B6">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Referring to the a</w:t>
            </w:r>
            <w:r w:rsidRPr="00CD07B6">
              <w:rPr>
                <w:rFonts w:ascii="Calibri" w:eastAsia="Times New Roman" w:hAnsi="Calibri" w:cs="Calibri"/>
                <w:kern w:val="0"/>
                <w:lang w:eastAsia="en-GB"/>
                <w14:ligatures w14:val="none"/>
              </w:rPr>
              <w:t>rticle 14</w:t>
            </w:r>
            <w:r>
              <w:rPr>
                <w:rFonts w:ascii="Calibri" w:eastAsia="Times New Roman" w:hAnsi="Calibri" w:cs="Calibri"/>
                <w:kern w:val="0"/>
                <w:lang w:eastAsia="en-GB"/>
                <w14:ligatures w14:val="none"/>
              </w:rPr>
              <w:t xml:space="preserve"> pertaining to the a</w:t>
            </w:r>
            <w:r w:rsidRPr="00CD07B6">
              <w:rPr>
                <w:rFonts w:ascii="Calibri" w:eastAsia="Times New Roman" w:hAnsi="Calibri" w:cs="Calibri"/>
                <w:kern w:val="0"/>
                <w:lang w:eastAsia="en-GB"/>
                <w14:ligatures w14:val="none"/>
              </w:rPr>
              <w:t>pplication of scenario analysis and stress testing</w:t>
            </w:r>
            <w:r>
              <w:rPr>
                <w:rFonts w:ascii="Calibri" w:eastAsia="Times New Roman" w:hAnsi="Calibri" w:cs="Calibri"/>
                <w:kern w:val="0"/>
                <w:lang w:eastAsia="en-GB"/>
                <w14:ligatures w14:val="none"/>
              </w:rPr>
              <w:t xml:space="preserve"> and </w:t>
            </w:r>
            <w:r w:rsidRPr="00CD07B6">
              <w:rPr>
                <w:rFonts w:ascii="Calibri" w:eastAsia="Times New Roman" w:hAnsi="Calibri" w:cs="Calibri"/>
                <w:kern w:val="0"/>
                <w:lang w:eastAsia="en-GB"/>
                <w14:ligatures w14:val="none"/>
              </w:rPr>
              <w:t>Annex 4</w:t>
            </w:r>
            <w:r>
              <w:rPr>
                <w:rFonts w:ascii="Calibri" w:eastAsia="Times New Roman" w:hAnsi="Calibri" w:cs="Calibri"/>
                <w:kern w:val="0"/>
                <w:lang w:eastAsia="en-GB"/>
                <w14:ligatures w14:val="none"/>
              </w:rPr>
              <w:t xml:space="preserve"> relating to </w:t>
            </w:r>
            <w:r w:rsidRPr="00CD07B6">
              <w:rPr>
                <w:rFonts w:ascii="Calibri" w:eastAsia="Times New Roman" w:hAnsi="Calibri" w:cs="Calibri"/>
                <w:kern w:val="0"/>
                <w:lang w:eastAsia="en-GB"/>
                <w14:ligatures w14:val="none"/>
              </w:rPr>
              <w:t>Scenarios envisaged by Network for Greening the Financial Syste</w:t>
            </w:r>
            <w:r>
              <w:rPr>
                <w:rFonts w:ascii="Calibri" w:eastAsia="Times New Roman" w:hAnsi="Calibri" w:cs="Calibri"/>
                <w:kern w:val="0"/>
                <w:lang w:eastAsia="en-GB"/>
                <w14:ligatures w14:val="none"/>
              </w:rPr>
              <w:t>m</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082AE6ED" w:rsidR="00DC31BF" w:rsidRPr="00CF2E7C" w:rsidRDefault="007565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4CF7D2FD"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7565A5" w:rsidRPr="00CF2E7C">
              <w:rPr>
                <w:rFonts w:ascii="Calibri" w:hAnsi="Calibri" w:cs="Calibri"/>
              </w:rPr>
              <w:t xml:space="preserve"> 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0EC345D7" w:rsidR="0098226E" w:rsidRPr="00CF2E7C" w:rsidRDefault="007565A5" w:rsidP="00CF2E7C">
            <w:pPr>
              <w:textAlignment w:val="baseline"/>
              <w:rPr>
                <w:rFonts w:ascii="Calibri" w:eastAsia="Times New Roman" w:hAnsi="Calibri" w:cs="Calibri"/>
                <w:kern w:val="0"/>
                <w:lang w:eastAsia="en-GB"/>
                <w14:ligatures w14:val="none"/>
              </w:rPr>
            </w:pPr>
            <w:r w:rsidRPr="00CF2E7C">
              <w:rPr>
                <w:rFonts w:ascii="Calibri" w:hAnsi="Calibri" w:cs="Calibri"/>
              </w:rPr>
              <w:t>X</w:t>
            </w: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46D1AAF3" w:rsidR="00F10A6E" w:rsidRPr="00CF2E7C" w:rsidRDefault="007565A5" w:rsidP="00CF2E7C">
            <w:pPr>
              <w:textAlignment w:val="baseline"/>
              <w:rPr>
                <w:rFonts w:ascii="Calibri" w:eastAsia="Times New Roman" w:hAnsi="Calibri" w:cs="Calibri"/>
                <w:kern w:val="0"/>
                <w:lang w:eastAsia="en-GB"/>
                <w14:ligatures w14:val="none"/>
              </w:rPr>
            </w:pPr>
            <w:r w:rsidRPr="005C1FD6">
              <w:rPr>
                <w:rFonts w:ascii="Calibri" w:eastAsia="Times New Roman" w:hAnsi="Calibri" w:cs="Calibri"/>
                <w:kern w:val="0"/>
                <w:lang w:eastAsia="en-GB"/>
                <w14:ligatures w14:val="none"/>
              </w:rPr>
              <w:t>The policy tool requires financial institutions to consider a spectrum of time horizons</w:t>
            </w:r>
            <w:r>
              <w:rPr>
                <w:rFonts w:ascii="Calibri" w:eastAsia="Times New Roman" w:hAnsi="Calibri" w:cs="Calibri"/>
                <w:kern w:val="0"/>
                <w:lang w:eastAsia="en-GB"/>
                <w14:ligatures w14:val="none"/>
              </w:rPr>
              <w:t xml:space="preserve">: </w:t>
            </w:r>
            <w:r w:rsidRPr="005C1FD6">
              <w:rPr>
                <w:rFonts w:ascii="Calibri" w:eastAsia="Times New Roman" w:hAnsi="Calibri" w:cs="Calibri"/>
                <w:kern w:val="0"/>
                <w:lang w:eastAsia="en-GB"/>
                <w14:ligatures w14:val="none"/>
              </w:rPr>
              <w:t>short, medium, and long-term</w:t>
            </w:r>
            <w:r>
              <w:rPr>
                <w:rFonts w:ascii="Calibri" w:eastAsia="Times New Roman" w:hAnsi="Calibri" w:cs="Calibri"/>
                <w:kern w:val="0"/>
                <w:lang w:eastAsia="en-GB"/>
                <w14:ligatures w14:val="none"/>
              </w:rPr>
              <w:t xml:space="preserve"> </w:t>
            </w:r>
            <w:r w:rsidRPr="005C1FD6">
              <w:rPr>
                <w:rFonts w:ascii="Calibri" w:eastAsia="Times New Roman" w:hAnsi="Calibri" w:cs="Calibri"/>
                <w:kern w:val="0"/>
                <w:lang w:eastAsia="en-GB"/>
                <w14:ligatures w14:val="none"/>
              </w:rPr>
              <w:t>when conducting scenario analysis and stress testing for climate-related and environmental risks</w:t>
            </w:r>
            <w:r>
              <w:rPr>
                <w:rFonts w:ascii="Calibri" w:eastAsia="Times New Roman" w:hAnsi="Calibri" w:cs="Calibri"/>
                <w:kern w:val="0"/>
                <w:lang w:eastAsia="en-GB"/>
                <w14:ligatures w14:val="none"/>
              </w:rPr>
              <w:t>. (Article 14(3))</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6C064363" w:rsidR="00F26296" w:rsidRPr="00CF2E7C" w:rsidRDefault="007565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600A3254" w:rsidR="00F26296" w:rsidRPr="00CF2E7C" w:rsidRDefault="007565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6B003529" w:rsidR="00F26296" w:rsidRPr="00CF2E7C" w:rsidRDefault="007565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X</w:t>
            </w: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7FF8668" w14:textId="2A20C71F" w:rsidR="0039452A" w:rsidRDefault="0039452A" w:rsidP="00AE6D14">
            <w:pPr>
              <w:jc w:val="both"/>
              <w:textAlignment w:val="baseline"/>
              <w:rPr>
                <w:rFonts w:ascii="Calibri" w:eastAsia="Times New Roman" w:hAnsi="Calibri" w:cs="Calibri"/>
                <w:kern w:val="0"/>
                <w:lang w:eastAsia="en-GB"/>
                <w14:ligatures w14:val="none"/>
              </w:rPr>
            </w:pPr>
            <w:r w:rsidRPr="0039452A">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tool</w:t>
            </w:r>
            <w:r w:rsidRPr="0039452A">
              <w:rPr>
                <w:rFonts w:ascii="Calibri" w:eastAsia="Times New Roman" w:hAnsi="Calibri" w:cs="Calibri"/>
                <w:kern w:val="0"/>
                <w:lang w:eastAsia="en-GB"/>
                <w14:ligatures w14:val="none"/>
              </w:rPr>
              <w:t xml:space="preserve"> set out clear expectations for how financial institutions should use the results of stress-testing and scenario analysis exercises. The relevant requirements and guidance are primarily found in</w:t>
            </w:r>
            <w:r>
              <w:rPr>
                <w:rFonts w:ascii="Calibri" w:eastAsia="Times New Roman" w:hAnsi="Calibri" w:cs="Calibri"/>
                <w:kern w:val="0"/>
                <w:lang w:eastAsia="en-GB"/>
                <w14:ligatures w14:val="none"/>
              </w:rPr>
              <w:t xml:space="preserve"> </w:t>
            </w:r>
            <w:r w:rsidRPr="0039452A">
              <w:rPr>
                <w:rFonts w:ascii="Calibri" w:eastAsia="Times New Roman" w:hAnsi="Calibri" w:cs="Calibri"/>
                <w:kern w:val="0"/>
                <w:lang w:eastAsia="en-GB"/>
                <w14:ligatures w14:val="none"/>
              </w:rPr>
              <w:t>Article 14 (Application of scenario analysis and stress testing)</w:t>
            </w:r>
            <w:r>
              <w:rPr>
                <w:rFonts w:ascii="Calibri" w:eastAsia="Times New Roman" w:hAnsi="Calibri" w:cs="Calibri"/>
                <w:kern w:val="0"/>
                <w:lang w:eastAsia="en-GB"/>
                <w14:ligatures w14:val="none"/>
              </w:rPr>
              <w:t xml:space="preserve"> a</w:t>
            </w:r>
            <w:r w:rsidRPr="0039452A">
              <w:rPr>
                <w:rFonts w:ascii="Calibri" w:eastAsia="Times New Roman" w:hAnsi="Calibri" w:cs="Calibri"/>
                <w:kern w:val="0"/>
                <w:lang w:eastAsia="en-GB"/>
                <w14:ligatures w14:val="none"/>
              </w:rPr>
              <w:t>nd related sections of the guidelines.</w:t>
            </w:r>
          </w:p>
          <w:p w14:paraId="3F75F885" w14:textId="307DFF85" w:rsidR="0039452A" w:rsidRDefault="0039452A" w:rsidP="00AE6D14">
            <w:pPr>
              <w:jc w:val="both"/>
              <w:textAlignment w:val="baseline"/>
              <w:rPr>
                <w:rFonts w:ascii="Calibri" w:eastAsia="Times New Roman" w:hAnsi="Calibri" w:cs="Calibri"/>
                <w:kern w:val="0"/>
                <w:lang w:eastAsia="en-GB"/>
                <w14:ligatures w14:val="none"/>
              </w:rPr>
            </w:pPr>
            <w:r w:rsidRPr="0039452A">
              <w:rPr>
                <w:rFonts w:ascii="Calibri" w:eastAsia="Times New Roman" w:hAnsi="Calibri" w:cs="Calibri"/>
                <w:kern w:val="0"/>
                <w:lang w:eastAsia="en-GB"/>
                <w14:ligatures w14:val="none"/>
              </w:rPr>
              <w:t>the results of scenario analysis are used to explore the impacts of climate change and the transition to a low-carbon economy on the institution’s strategy and the resiliency of its business model.</w:t>
            </w:r>
            <w:r>
              <w:rPr>
                <w:rFonts w:ascii="Calibri" w:eastAsia="Times New Roman" w:hAnsi="Calibri" w:cs="Calibri"/>
                <w:kern w:val="0"/>
                <w:lang w:eastAsia="en-GB"/>
                <w14:ligatures w14:val="none"/>
              </w:rPr>
              <w:t xml:space="preserve"> </w:t>
            </w:r>
          </w:p>
          <w:p w14:paraId="3FE45217" w14:textId="20A8ECD9" w:rsidR="0039452A" w:rsidRDefault="0039452A" w:rsidP="00AE6D1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w:t>
            </w:r>
            <w:r w:rsidRPr="0039452A">
              <w:rPr>
                <w:rFonts w:ascii="Calibri" w:eastAsia="Times New Roman" w:hAnsi="Calibri" w:cs="Calibri"/>
                <w:kern w:val="0"/>
                <w:lang w:eastAsia="en-GB"/>
                <w14:ligatures w14:val="none"/>
              </w:rPr>
              <w:t>specifies that scenario analysis results are used to measure vulnerability to climate-related and environmental financial risks and to estimate exposures and potential losses.</w:t>
            </w:r>
          </w:p>
          <w:p w14:paraId="2DD0C785" w14:textId="6E7B46A6" w:rsidR="0039452A" w:rsidRDefault="0039452A" w:rsidP="00AE6D14">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T</w:t>
            </w:r>
            <w:r w:rsidRPr="0039452A">
              <w:rPr>
                <w:rFonts w:ascii="Calibri" w:eastAsia="Times New Roman" w:hAnsi="Calibri" w:cs="Calibri"/>
                <w:kern w:val="0"/>
                <w:lang w:eastAsia="en-GB"/>
                <w14:ligatures w14:val="none"/>
              </w:rPr>
              <w:t>he results of scenario analysis and stress testing are also used to diagnose data and methodological limitations in climate-related and environmental financial risk management.</w:t>
            </w:r>
          </w:p>
          <w:p w14:paraId="02DA5710" w14:textId="41A1E0A8" w:rsidR="00F26296" w:rsidRPr="00982BBA" w:rsidRDefault="0039452A" w:rsidP="00982BBA">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It </w:t>
            </w:r>
            <w:r w:rsidRPr="0039452A">
              <w:rPr>
                <w:rFonts w:ascii="Calibri" w:eastAsia="Times New Roman" w:hAnsi="Calibri" w:cs="Calibri"/>
                <w:kern w:val="0"/>
                <w:lang w:eastAsia="en-GB"/>
                <w14:ligatures w14:val="none"/>
              </w:rPr>
              <w:t>states that scenario analysis results should inform the adequacy of the institution’s risk management framework, including risk mitigation options.</w:t>
            </w:r>
            <w:r>
              <w:t xml:space="preserve"> </w:t>
            </w:r>
            <w:r w:rsidRPr="0039452A">
              <w:rPr>
                <w:rFonts w:ascii="Calibri" w:eastAsia="Times New Roman" w:hAnsi="Calibri" w:cs="Calibri"/>
                <w:kern w:val="0"/>
                <w:lang w:eastAsia="en-GB"/>
                <w14:ligatures w14:val="none"/>
              </w:rPr>
              <w:t>The results are used to support decision-making at the board and senior management levels, as required by</w:t>
            </w:r>
            <w:r>
              <w:rPr>
                <w:rFonts w:ascii="Calibri" w:eastAsia="Times New Roman" w:hAnsi="Calibri" w:cs="Calibri"/>
                <w:kern w:val="0"/>
                <w:lang w:eastAsia="en-GB"/>
                <w14:ligatures w14:val="none"/>
              </w:rPr>
              <w:t xml:space="preserve"> </w:t>
            </w:r>
            <w:r w:rsidRPr="0039452A">
              <w:rPr>
                <w:rFonts w:ascii="Calibri" w:eastAsia="Times New Roman" w:hAnsi="Calibri" w:cs="Calibri"/>
                <w:kern w:val="0"/>
                <w:lang w:eastAsia="en-GB"/>
                <w14:ligatures w14:val="none"/>
              </w:rPr>
              <w:t>Article 20(2)</w:t>
            </w:r>
            <w:r>
              <w:rPr>
                <w:rFonts w:ascii="Calibri" w:eastAsia="Times New Roman" w:hAnsi="Calibri" w:cs="Calibri"/>
                <w:kern w:val="0"/>
                <w:lang w:eastAsia="en-GB"/>
                <w14:ligatures w14:val="none"/>
              </w:rPr>
              <w:t xml:space="preserve">. </w:t>
            </w:r>
            <w:r w:rsidRPr="0039452A">
              <w:rPr>
                <w:rFonts w:ascii="Calibri" w:eastAsia="Times New Roman" w:hAnsi="Calibri" w:cs="Calibri"/>
                <w:kern w:val="0"/>
                <w:lang w:eastAsia="en-GB"/>
                <w14:ligatures w14:val="none"/>
              </w:rPr>
              <w:t>The guidelines emphasise that scenario analysis is a dynamic and evolving practice</w:t>
            </w:r>
            <w:r>
              <w:rPr>
                <w:rFonts w:ascii="Calibri" w:eastAsia="Times New Roman" w:hAnsi="Calibri" w:cs="Calibri"/>
                <w:kern w:val="0"/>
                <w:lang w:eastAsia="en-GB"/>
                <w14:ligatures w14:val="none"/>
              </w:rPr>
              <w:t xml:space="preserve">.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344313F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134AF" w:rsidRPr="00CF2E7C">
              <w:rPr>
                <w:rFonts w:ascii="Calibri" w:eastAsia="Times New Roman" w:hAnsi="Calibri" w:cs="Calibri"/>
                <w:kern w:val="0"/>
                <w:lang w:eastAsia="en-GB"/>
                <w14:ligatures w14:val="none"/>
              </w:rPr>
              <w:t> </w:t>
            </w:r>
            <w:r w:rsidR="006134AF" w:rsidRPr="00CF2E7C">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5C59D25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134AF" w:rsidRPr="00CF2E7C">
              <w:rPr>
                <w:rFonts w:ascii="Calibri" w:eastAsia="Times New Roman" w:hAnsi="Calibri" w:cs="Calibri"/>
                <w:kern w:val="0"/>
                <w:lang w:eastAsia="en-GB"/>
                <w14:ligatures w14:val="none"/>
              </w:rPr>
              <w:t> </w:t>
            </w:r>
            <w:r w:rsidR="006134AF" w:rsidRPr="00CF2E7C">
              <w:rPr>
                <w:rFonts w:ascii="Calibri" w:eastAsia="Times New Roman" w:hAnsi="Calibri" w:cs="Calibri"/>
                <w:kern w:val="0"/>
                <w:lang w:val="en-S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02725904" w:rsidR="00F26296" w:rsidRPr="00CF2E7C" w:rsidRDefault="006134A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S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164B14AE" w:rsidR="00F26296" w:rsidRPr="00CF2E7C" w:rsidRDefault="006134AF" w:rsidP="00982BBA">
            <w:pPr>
              <w:jc w:val="both"/>
              <w:textAlignment w:val="baseline"/>
              <w:rPr>
                <w:rFonts w:ascii="Calibri" w:eastAsia="Times New Roman" w:hAnsi="Calibri" w:cs="Calibri"/>
                <w:kern w:val="0"/>
                <w:lang w:eastAsia="en-GB"/>
                <w14:ligatures w14:val="none"/>
              </w:rPr>
            </w:pPr>
            <w:r w:rsidRPr="00D0051E">
              <w:rPr>
                <w:rFonts w:ascii="Calibri" w:eastAsia="Times New Roman" w:hAnsi="Calibri" w:cs="Calibri"/>
                <w:kern w:val="0"/>
                <w:lang w:eastAsia="en-GB"/>
                <w14:ligatures w14:val="none"/>
              </w:rPr>
              <w:t xml:space="preserve">Article 13(5) </w:t>
            </w:r>
            <w:r>
              <w:rPr>
                <w:rFonts w:ascii="Calibri" w:eastAsia="Times New Roman" w:hAnsi="Calibri" w:cs="Calibri"/>
                <w:kern w:val="0"/>
                <w:lang w:eastAsia="en-GB"/>
                <w14:ligatures w14:val="none"/>
              </w:rPr>
              <w:t xml:space="preserve">of 2023 guidelines </w:t>
            </w:r>
            <w:r w:rsidRPr="00D0051E">
              <w:rPr>
                <w:rFonts w:ascii="Calibri" w:eastAsia="Times New Roman" w:hAnsi="Calibri" w:cs="Calibri"/>
                <w:kern w:val="0"/>
                <w:lang w:eastAsia="en-GB"/>
                <w14:ligatures w14:val="none"/>
              </w:rPr>
              <w:t>state</w:t>
            </w:r>
            <w:r>
              <w:rPr>
                <w:rFonts w:ascii="Calibri" w:eastAsia="Times New Roman" w:hAnsi="Calibri" w:cs="Calibri"/>
                <w:kern w:val="0"/>
                <w:lang w:eastAsia="en-GB"/>
                <w14:ligatures w14:val="none"/>
              </w:rPr>
              <w:t xml:space="preserve"> a</w:t>
            </w:r>
            <w:r w:rsidRPr="00D0051E">
              <w:rPr>
                <w:rFonts w:ascii="Calibri" w:eastAsia="Times New Roman" w:hAnsi="Calibri" w:cs="Calibri"/>
                <w:kern w:val="0"/>
                <w:lang w:eastAsia="en-GB"/>
                <w14:ligatures w14:val="none"/>
              </w:rPr>
              <w:t xml:space="preserve"> financial institution shall consider and record any material impact on capital and liquidity as a result of climate-related and environmental financial risks.</w:t>
            </w:r>
            <w:r>
              <w:rPr>
                <w:rFonts w:ascii="Calibri" w:eastAsia="Times New Roman" w:hAnsi="Calibri" w:cs="Calibri"/>
                <w:kern w:val="0"/>
                <w:lang w:eastAsia="en-GB"/>
                <w14:ligatures w14:val="none"/>
              </w:rPr>
              <w:t xml:space="preserve"> </w:t>
            </w:r>
            <w:r w:rsidRPr="00D0051E">
              <w:rPr>
                <w:rFonts w:ascii="Calibri" w:eastAsia="Times New Roman" w:hAnsi="Calibri" w:cs="Calibri"/>
                <w:kern w:val="0"/>
                <w:lang w:eastAsia="en-GB"/>
                <w14:ligatures w14:val="none"/>
              </w:rPr>
              <w:t>This provision establishes a direct requirement for financial institutions to incorporate climate-related risks into their capital adequacy assessments.</w:t>
            </w:r>
            <w:r>
              <w:t xml:space="preserve"> </w:t>
            </w:r>
            <w:r w:rsidRPr="00D0051E">
              <w:rPr>
                <w:rFonts w:ascii="Calibri" w:eastAsia="Times New Roman" w:hAnsi="Calibri" w:cs="Calibri"/>
                <w:kern w:val="0"/>
                <w:lang w:eastAsia="en-GB"/>
                <w14:ligatures w14:val="none"/>
              </w:rPr>
              <w:t>The Central Bank acknowledges that climate-related and environmental financial risks will probably be incorporated into financial institutions' internal capital and liquidity adequacy assessments iteratively and progressively, as the methodologies and data continue to mature over time and analytical gaps are addressed.</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56A0017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7FC3" w:rsidRPr="00CF2E7C">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6470DE7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37FC3" w:rsidRPr="00CF2E7C">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5722F735" w:rsidR="00F26296" w:rsidRPr="00CF2E7C" w:rsidRDefault="00B37F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don’t specify, but rather </w:t>
            </w:r>
            <w:r w:rsidRPr="00C93B6D">
              <w:rPr>
                <w:rFonts w:ascii="Calibri" w:eastAsia="Times New Roman" w:hAnsi="Calibri" w:cs="Calibri"/>
                <w:kern w:val="0"/>
                <w:lang w:eastAsia="en-GB"/>
                <w14:ligatures w14:val="none"/>
              </w:rPr>
              <w:t>focus is on integrating climate-related risks into the overall risk management and capital adequacy framework, rather than on sector-specific capital incentives or disincentives.</w:t>
            </w:r>
            <w:r>
              <w:rPr>
                <w:rFonts w:ascii="Calibri" w:eastAsia="Times New Roman" w:hAnsi="Calibri" w:cs="Calibri"/>
                <w:kern w:val="0"/>
                <w:lang w:eastAsia="en-GB"/>
                <w14:ligatures w14:val="none"/>
              </w:rPr>
              <w:t xml:space="preserve"> </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6569A11F" w:rsidR="00B114FD" w:rsidRPr="00CF2E7C" w:rsidRDefault="00B37FC3" w:rsidP="00CF2E7C">
            <w:pPr>
              <w:textAlignment w:val="baseline"/>
              <w:rPr>
                <w:rFonts w:ascii="Calibri" w:eastAsia="Times New Roman" w:hAnsi="Calibri" w:cs="Calibri"/>
                <w:kern w:val="0"/>
                <w:lang w:eastAsia="en-GB"/>
                <w14:ligatures w14:val="none"/>
              </w:rPr>
            </w:pPr>
            <w:r w:rsidRPr="00A9422E">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1A381AFD" w:rsidR="00B114FD" w:rsidRPr="00CF2E7C" w:rsidRDefault="00146320" w:rsidP="00CF2E7C">
            <w:pPr>
              <w:textAlignment w:val="baseline"/>
              <w:rPr>
                <w:rFonts w:ascii="Calibri" w:eastAsia="Times New Roman" w:hAnsi="Calibri" w:cs="Calibri"/>
                <w:kern w:val="0"/>
                <w:lang w:eastAsia="en-GB"/>
                <w14:ligatures w14:val="none"/>
              </w:rPr>
            </w:pPr>
            <w:r w:rsidRPr="0041255F">
              <w:rPr>
                <w:rFonts w:ascii="Calibri" w:eastAsia="Times New Roman" w:hAnsi="Calibri" w:cs="Calibri"/>
                <w:kern w:val="0"/>
                <w:lang w:eastAsia="en-GB"/>
                <w14:ligatures w14:val="none"/>
              </w:rPr>
              <w:t>X</w:t>
            </w:r>
            <w:r>
              <w:rPr>
                <w:rFonts w:ascii="Calibri" w:eastAsia="Times New Roman" w:hAnsi="Calibri" w:cs="Calibri"/>
                <w:kern w:val="0"/>
                <w:lang w:eastAsia="en-GB"/>
                <w14:ligatures w14:val="none"/>
              </w:rPr>
              <w:t xml:space="preserve"> </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785E370" w14:textId="77777777" w:rsidR="00146320" w:rsidRDefault="00146320" w:rsidP="00146320">
            <w:pPr>
              <w:pStyle w:val="ListParagraph"/>
              <w:numPr>
                <w:ilvl w:val="0"/>
                <w:numId w:val="52"/>
              </w:numPr>
              <w:jc w:val="both"/>
              <w:textAlignment w:val="baseline"/>
              <w:rPr>
                <w:rFonts w:ascii="Calibri" w:eastAsia="Times New Roman" w:hAnsi="Calibri" w:cs="Calibri"/>
                <w:kern w:val="0"/>
                <w:lang w:eastAsia="en-GB"/>
                <w14:ligatures w14:val="none"/>
              </w:rPr>
            </w:pPr>
            <w:r w:rsidRPr="00DE2756">
              <w:rPr>
                <w:rFonts w:ascii="Calibri" w:eastAsia="Times New Roman" w:hAnsi="Calibri" w:cs="Calibri"/>
                <w:kern w:val="0"/>
                <w:lang w:eastAsia="en-GB"/>
                <w14:ligatures w14:val="none"/>
              </w:rPr>
              <w:t>The guidelines explicitly state that a financial institution must evaluate how climate-related and environmental financial risks can affect net cash outflows, such as increased credit line drawdowns or accelerated deposit withdrawals or policy cancellations, as well as the value of assets in liquidity buffers. If these impacts are significant and relevant, a financial institution should include them in the calibration of liquidity buffers and integrate them into liquidity risk management frameworks.</w:t>
            </w:r>
            <w:r>
              <w:rPr>
                <w:rFonts w:ascii="Calibri" w:eastAsia="Times New Roman" w:hAnsi="Calibri" w:cs="Calibri"/>
                <w:kern w:val="0"/>
                <w:lang w:eastAsia="en-GB"/>
                <w14:ligatures w14:val="none"/>
              </w:rPr>
              <w:t xml:space="preserve"> Article 10 of 2023 guidelines. </w:t>
            </w:r>
          </w:p>
          <w:p w14:paraId="41662792" w14:textId="77777777" w:rsidR="00146320" w:rsidRDefault="00146320" w:rsidP="00146320">
            <w:pPr>
              <w:pStyle w:val="ListParagraph"/>
              <w:numPr>
                <w:ilvl w:val="0"/>
                <w:numId w:val="52"/>
              </w:numPr>
              <w:jc w:val="both"/>
              <w:textAlignment w:val="baseline"/>
              <w:rPr>
                <w:rFonts w:ascii="Calibri" w:eastAsia="Times New Roman" w:hAnsi="Calibri" w:cs="Calibri"/>
                <w:kern w:val="0"/>
                <w:lang w:eastAsia="en-GB"/>
                <w14:ligatures w14:val="none"/>
              </w:rPr>
            </w:pPr>
            <w:r w:rsidRPr="00F735C9">
              <w:rPr>
                <w:rFonts w:ascii="Calibri" w:eastAsia="Times New Roman" w:hAnsi="Calibri" w:cs="Calibri"/>
                <w:kern w:val="0"/>
                <w:lang w:eastAsia="en-GB"/>
                <w14:ligatures w14:val="none"/>
              </w:rPr>
              <w:t>Climate-related and environmental financial risks must be integrated into existing risk categories, including liquidity risk, within the risk management framework</w:t>
            </w:r>
            <w:r>
              <w:rPr>
                <w:rFonts w:ascii="Calibri" w:eastAsia="Times New Roman" w:hAnsi="Calibri" w:cs="Calibri"/>
                <w:kern w:val="0"/>
                <w:lang w:eastAsia="en-GB"/>
                <w14:ligatures w14:val="none"/>
              </w:rPr>
              <w:t xml:space="preserve">. </w:t>
            </w:r>
          </w:p>
          <w:p w14:paraId="08EE0F6A" w14:textId="23D870A5" w:rsidR="00B114FD" w:rsidRPr="00982BBA" w:rsidRDefault="00146320" w:rsidP="00982BBA">
            <w:pPr>
              <w:pStyle w:val="ListParagraph"/>
              <w:numPr>
                <w:ilvl w:val="0"/>
                <w:numId w:val="52"/>
              </w:numPr>
              <w:jc w:val="both"/>
              <w:textAlignment w:val="baseline"/>
              <w:rPr>
                <w:rFonts w:ascii="Calibri" w:eastAsia="Times New Roman" w:hAnsi="Calibri" w:cs="Calibri"/>
                <w:kern w:val="0"/>
                <w:lang w:eastAsia="en-GB"/>
                <w14:ligatures w14:val="none"/>
              </w:rPr>
            </w:pPr>
            <w:r w:rsidRPr="00982BBA">
              <w:rPr>
                <w:rFonts w:ascii="Calibri" w:eastAsia="Times New Roman" w:hAnsi="Calibri" w:cs="Calibri"/>
                <w:kern w:val="0"/>
                <w:lang w:eastAsia="en-GB"/>
                <w14:ligatures w14:val="none"/>
              </w:rPr>
              <w:t>Financial institutions must consider and record any material impact on capital and liquidity as a result of climate-related and environmental financial risks. The Central Bank acknowledges that methodologies and data will mature over time, and expects institutions to: Start building risk analysis capabilities; Identify relevant climate-related risk drivers that may materially impair financial condition and Develop key risk indicators and metrics to quantify exposures.</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44B0F6A" w14:textId="77777777" w:rsidR="006F20F1" w:rsidRDefault="006F20F1" w:rsidP="006F20F1">
            <w:pPr>
              <w:pStyle w:val="ListParagraph"/>
              <w:numPr>
                <w:ilvl w:val="0"/>
                <w:numId w:val="52"/>
              </w:numPr>
              <w:jc w:val="both"/>
              <w:textAlignment w:val="baseline"/>
              <w:rPr>
                <w:rFonts w:ascii="Calibri" w:eastAsia="Times New Roman" w:hAnsi="Calibri" w:cs="Calibri"/>
                <w:kern w:val="0"/>
                <w:lang w:eastAsia="en-GB"/>
                <w14:ligatures w14:val="none"/>
              </w:rPr>
            </w:pPr>
            <w:r w:rsidRPr="00543BC4">
              <w:rPr>
                <w:rFonts w:ascii="Calibri" w:eastAsia="Times New Roman" w:hAnsi="Calibri" w:cs="Calibri"/>
                <w:kern w:val="0"/>
                <w:lang w:eastAsia="en-GB"/>
                <w14:ligatures w14:val="none"/>
              </w:rPr>
              <w:t>Financial institutions must evaluate how climate-related and environmental financial risks can affect net cash outflows and the value of assets in liquidity buffers. If these impacts are significant and relevant, institutions are required to include them in the calibration of liquidity buffers and integrate them into liquidity risk management frameworks.</w:t>
            </w:r>
          </w:p>
          <w:p w14:paraId="412409C4" w14:textId="77777777" w:rsidR="006F20F1" w:rsidRDefault="006F20F1" w:rsidP="006F20F1">
            <w:pPr>
              <w:pStyle w:val="ListParagraph"/>
              <w:numPr>
                <w:ilvl w:val="0"/>
                <w:numId w:val="52"/>
              </w:numPr>
              <w:jc w:val="both"/>
              <w:textAlignment w:val="baseline"/>
              <w:rPr>
                <w:rFonts w:ascii="Calibri" w:eastAsia="Times New Roman" w:hAnsi="Calibri" w:cs="Calibri"/>
                <w:kern w:val="0"/>
                <w:lang w:eastAsia="en-GB"/>
                <w14:ligatures w14:val="none"/>
              </w:rPr>
            </w:pPr>
            <w:r w:rsidRPr="00CD76A5">
              <w:rPr>
                <w:rFonts w:ascii="Calibri" w:eastAsia="Times New Roman" w:hAnsi="Calibri" w:cs="Calibri"/>
                <w:kern w:val="0"/>
                <w:lang w:eastAsia="en-GB"/>
                <w14:ligatures w14:val="none"/>
              </w:rPr>
              <w:t>Financial institutions are required to perform scenario analysis and stress testing to explore the impacts of climate change</w:t>
            </w:r>
            <w:r>
              <w:rPr>
                <w:rFonts w:ascii="Calibri" w:eastAsia="Times New Roman" w:hAnsi="Calibri" w:cs="Calibri"/>
                <w:kern w:val="0"/>
                <w:lang w:eastAsia="en-GB"/>
                <w14:ligatures w14:val="none"/>
              </w:rPr>
              <w:t xml:space="preserve"> </w:t>
            </w:r>
            <w:r w:rsidRPr="00CD76A5">
              <w:rPr>
                <w:rFonts w:ascii="Calibri" w:eastAsia="Times New Roman" w:hAnsi="Calibri" w:cs="Calibri"/>
                <w:kern w:val="0"/>
                <w:lang w:eastAsia="en-GB"/>
                <w14:ligatures w14:val="none"/>
              </w:rPr>
              <w:t>including on liquidity positions. This process is intended to measure vulnerability to climate-related and environmental financial risks, estimate exposures and potential losses, and inform the adequacy of the institution’s risk management framework, including risk mitigation options.</w:t>
            </w:r>
          </w:p>
          <w:p w14:paraId="7BF79C85" w14:textId="69140C2D" w:rsidR="00B114FD" w:rsidRPr="00982BBA" w:rsidRDefault="006F20F1" w:rsidP="00982BBA">
            <w:pPr>
              <w:pStyle w:val="ListParagraph"/>
              <w:numPr>
                <w:ilvl w:val="0"/>
                <w:numId w:val="52"/>
              </w:numPr>
              <w:jc w:val="both"/>
              <w:textAlignment w:val="baseline"/>
              <w:rPr>
                <w:rFonts w:ascii="Calibri" w:eastAsia="Times New Roman" w:hAnsi="Calibri" w:cs="Calibri"/>
                <w:kern w:val="0"/>
                <w:lang w:eastAsia="en-GB"/>
                <w14:ligatures w14:val="none"/>
              </w:rPr>
            </w:pPr>
            <w:r w:rsidRPr="00982BBA">
              <w:rPr>
                <w:rFonts w:ascii="Calibri" w:eastAsia="Times New Roman" w:hAnsi="Calibri" w:cs="Calibri"/>
                <w:kern w:val="0"/>
                <w:lang w:eastAsia="en-GB"/>
                <w14:ligatures w14:val="none"/>
              </w:rPr>
              <w:t>These requirements are set out in Articles 10, 13, and 14, as well as Annex 3 of the 2023 Guidelines.</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85684CE" w14:textId="77777777" w:rsidR="006F20F1" w:rsidRDefault="006F20F1" w:rsidP="006F20F1">
            <w:pPr>
              <w:pStyle w:val="ListParagraph"/>
              <w:numPr>
                <w:ilvl w:val="0"/>
                <w:numId w:val="52"/>
              </w:numPr>
              <w:jc w:val="both"/>
              <w:textAlignment w:val="baseline"/>
              <w:rPr>
                <w:rFonts w:eastAsia="Times New Roman" w:cstheme="minorHAnsi"/>
                <w:kern w:val="0"/>
                <w:lang w:eastAsia="en-GB"/>
                <w14:ligatures w14:val="none"/>
              </w:rPr>
            </w:pPr>
            <w:r w:rsidRPr="00DE2756">
              <w:rPr>
                <w:rFonts w:eastAsia="Times New Roman" w:cstheme="minorHAnsi"/>
                <w:kern w:val="0"/>
                <w:lang w:eastAsia="en-GB"/>
                <w14:ligatures w14:val="none"/>
              </w:rPr>
              <w:t>A notable aspect of the Rwandan prudential policy framework for climate-related and environmental financial risks is its phased and proportionate approach to implementation.</w:t>
            </w:r>
            <w:r>
              <w:t xml:space="preserve"> T</w:t>
            </w:r>
            <w:r w:rsidRPr="00F33330">
              <w:rPr>
                <w:rFonts w:eastAsia="Times New Roman" w:cstheme="minorHAnsi"/>
                <w:kern w:val="0"/>
                <w:lang w:eastAsia="en-GB"/>
                <w14:ligatures w14:val="none"/>
              </w:rPr>
              <w:t>he guidelines issued by the National Bank of Rwanda</w:t>
            </w:r>
            <w:r>
              <w:rPr>
                <w:rFonts w:eastAsia="Times New Roman" w:cstheme="minorHAnsi"/>
                <w:kern w:val="0"/>
                <w:lang w:eastAsia="en-GB"/>
                <w14:ligatures w14:val="none"/>
              </w:rPr>
              <w:t xml:space="preserve"> </w:t>
            </w:r>
            <w:r w:rsidRPr="00F33330">
              <w:rPr>
                <w:rFonts w:eastAsia="Times New Roman" w:cstheme="minorHAnsi"/>
                <w:kern w:val="0"/>
                <w:lang w:eastAsia="en-GB"/>
                <w14:ligatures w14:val="none"/>
              </w:rPr>
              <w:t>explicitly recognise the varying capacities and complexities of different types of financial institutions</w:t>
            </w:r>
            <w:r>
              <w:rPr>
                <w:rFonts w:eastAsia="Times New Roman" w:cstheme="minorHAnsi"/>
                <w:kern w:val="0"/>
                <w:lang w:eastAsia="en-GB"/>
                <w14:ligatures w14:val="none"/>
              </w:rPr>
              <w:t>. T</w:t>
            </w:r>
            <w:r w:rsidRPr="00F33330">
              <w:rPr>
                <w:rFonts w:eastAsia="Times New Roman" w:cstheme="minorHAnsi"/>
                <w:kern w:val="0"/>
                <w:lang w:eastAsia="en-GB"/>
                <w14:ligatures w14:val="none"/>
              </w:rPr>
              <w:t>he requirements are introduced in phases, with distinct timelines for Tier I, II, III, and IV institutions, allowing for a gradual build-up of capacity and compliance</w:t>
            </w:r>
            <w:r>
              <w:rPr>
                <w:rFonts w:eastAsia="Times New Roman" w:cstheme="minorHAnsi"/>
                <w:kern w:val="0"/>
                <w:lang w:eastAsia="en-GB"/>
                <w14:ligatures w14:val="none"/>
              </w:rPr>
              <w:t xml:space="preserve">. </w:t>
            </w:r>
          </w:p>
          <w:p w14:paraId="1A751825" w14:textId="77777777" w:rsidR="002143DA" w:rsidRDefault="006F20F1" w:rsidP="006F20F1">
            <w:pPr>
              <w:pStyle w:val="ListParagraph"/>
              <w:numPr>
                <w:ilvl w:val="0"/>
                <w:numId w:val="52"/>
              </w:numPr>
              <w:jc w:val="both"/>
              <w:textAlignment w:val="baseline"/>
              <w:rPr>
                <w:rFonts w:eastAsia="Times New Roman" w:cstheme="minorHAnsi"/>
                <w:kern w:val="0"/>
                <w:lang w:eastAsia="en-GB"/>
                <w14:ligatures w14:val="none"/>
              </w:rPr>
            </w:pPr>
            <w:r w:rsidRPr="00DE2756">
              <w:rPr>
                <w:rFonts w:eastAsia="Times New Roman" w:cstheme="minorHAnsi"/>
                <w:kern w:val="0"/>
                <w:lang w:eastAsia="en-GB"/>
                <w14:ligatures w14:val="none"/>
              </w:rPr>
              <w:t xml:space="preserve"> </w:t>
            </w:r>
            <w:r w:rsidRPr="00F33330">
              <w:rPr>
                <w:rFonts w:eastAsia="Times New Roman" w:cstheme="minorHAnsi"/>
                <w:kern w:val="0"/>
                <w:lang w:eastAsia="en-GB"/>
                <w14:ligatures w14:val="none"/>
              </w:rPr>
              <w:t>The policy tool is closely aligned with international standards, particularly the IFRS Sustainability Disclosure Standards (IFRS S1 and S2) developed by the International Sustainability Standards Board (ISSB). The guidelines not only require compliance with these standards but also anticipate future updates and amendments, ensuring that the Rwandan framework remains current and internationally credible. The NBR has committed to updating its guidelines in line with the ISSB Adoption Roadmap and any new or amended standards, reflecting a forward-looking and adaptive regulatory stance</w:t>
            </w:r>
            <w:r>
              <w:rPr>
                <w:rFonts w:eastAsia="Times New Roman" w:cstheme="minorHAnsi"/>
                <w:kern w:val="0"/>
                <w:lang w:eastAsia="en-GB"/>
                <w14:ligatures w14:val="none"/>
              </w:rPr>
              <w:t>.</w:t>
            </w:r>
          </w:p>
          <w:p w14:paraId="2FE5DF4C" w14:textId="50850747" w:rsidR="00702413" w:rsidRPr="00982BBA" w:rsidRDefault="006F20F1" w:rsidP="00982BBA">
            <w:pPr>
              <w:pStyle w:val="ListParagraph"/>
              <w:numPr>
                <w:ilvl w:val="0"/>
                <w:numId w:val="52"/>
              </w:numPr>
              <w:jc w:val="both"/>
              <w:textAlignment w:val="baseline"/>
              <w:rPr>
                <w:rFonts w:eastAsia="Times New Roman" w:cstheme="minorHAnsi"/>
                <w:kern w:val="0"/>
                <w:lang w:eastAsia="en-GB"/>
                <w14:ligatures w14:val="none"/>
              </w:rPr>
            </w:pPr>
            <w:r w:rsidRPr="00982BBA">
              <w:rPr>
                <w:rFonts w:eastAsia="Times New Roman" w:cstheme="minorHAnsi"/>
                <w:kern w:val="0"/>
                <w:lang w:eastAsia="en-GB"/>
                <w14:ligatures w14:val="none"/>
              </w:rPr>
              <w:lastRenderedPageBreak/>
              <w:t>External auditors are tasked with reviewing the implementation of the guidelines and reporting any challenges to the Central Bank. There is also provision for independent assurance of sustainability disclosures, enhancing the credibility and reliability of reported information.</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0A44092A" w:rsidR="00702413" w:rsidRPr="009C4D10" w:rsidRDefault="002143DA" w:rsidP="00982BBA">
            <w:pPr>
              <w:jc w:val="both"/>
              <w:textAlignment w:val="baseline"/>
              <w:rPr>
                <w:rFonts w:eastAsia="Times New Roman" w:cstheme="minorHAnsi"/>
                <w:kern w:val="0"/>
                <w:lang w:eastAsia="en-GB"/>
                <w14:ligatures w14:val="none"/>
              </w:rPr>
            </w:pPr>
            <w:r>
              <w:rPr>
                <w:rFonts w:eastAsia="Times New Roman" w:cstheme="minorHAnsi"/>
                <w:kern w:val="0"/>
                <w:lang w:eastAsia="en-GB"/>
                <w14:ligatures w14:val="none"/>
              </w:rPr>
              <w:t>Though there is no  known evidence, t</w:t>
            </w:r>
            <w:r w:rsidRPr="00A036F3">
              <w:rPr>
                <w:rFonts w:eastAsia="Times New Roman" w:cstheme="minorHAnsi"/>
                <w:kern w:val="0"/>
                <w:lang w:eastAsia="en-GB"/>
                <w14:ligatures w14:val="none"/>
              </w:rPr>
              <w:t>he key barriers to implementing the prudential policy tool for climate-related financial risk management in Rwanda include limited capacity and resources, data challenges, evolving methodologies, complex materiality assessments, the need for integration into existing frameworks, governance and organisational change, technical demands of scenario analysis, compliance burdens, alignment with broader objectives, and the challenge of sustaining continuous improvement. The phased and supportive approach adopted by the NBR is designed to address many of these barriers, but significant effort and adaptation will be required from financial institutions as the framework matures.</w:t>
            </w:r>
            <w:r>
              <w:rPr>
                <w:rFonts w:eastAsia="Times New Roman" w:cstheme="minorHAnsi"/>
                <w:kern w:val="0"/>
                <w:lang w:eastAsia="en-GB"/>
                <w14:ligatures w14:val="none"/>
              </w:rPr>
              <w:t xml:space="preserve">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29CDFD7C"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9EB2E85"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1D7119C2"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D12BBCE"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4D194B8E"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288E605" w:rsidR="00FE0EA5" w:rsidRPr="009C4D10" w:rsidRDefault="00FE0EA5" w:rsidP="00CF2E7C">
            <w:pPr>
              <w:rPr>
                <w:rFonts w:cstheme="minorHAnsi"/>
              </w:rPr>
            </w:pPr>
            <w:r w:rsidRPr="009C4D10">
              <w:rPr>
                <w:rFonts w:cstheme="minorHAnsi"/>
              </w:rPr>
              <w:t>  </w:t>
            </w:r>
            <w:r w:rsidR="002143DA">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0124C488" w:rsidR="00FE0EA5" w:rsidRPr="009C4D10" w:rsidRDefault="00FE0EA5" w:rsidP="00CF2E7C">
            <w:pPr>
              <w:rPr>
                <w:rFonts w:cstheme="minorHAnsi"/>
              </w:rPr>
            </w:pPr>
            <w:r w:rsidRPr="009C4D10">
              <w:rPr>
                <w:rFonts w:cstheme="minorHAnsi"/>
                <w:lang w:val="en-SG"/>
              </w:rPr>
              <w:t> </w:t>
            </w:r>
            <w:r w:rsidRPr="009C4D10">
              <w:rPr>
                <w:rFonts w:cstheme="minorHAnsi"/>
              </w:rPr>
              <w:t> </w:t>
            </w:r>
            <w:r w:rsidR="002143DA">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EA76998" w14:textId="77777777" w:rsidR="007E1ECF" w:rsidRPr="007E1ECF" w:rsidRDefault="007E1ECF" w:rsidP="007E1ECF">
            <w:pPr>
              <w:numPr>
                <w:ilvl w:val="0"/>
                <w:numId w:val="54"/>
              </w:numPr>
              <w:rPr>
                <w:rFonts w:cstheme="minorHAnsi"/>
              </w:rPr>
            </w:pPr>
            <w:r w:rsidRPr="007E1ECF">
              <w:rPr>
                <w:rFonts w:cstheme="minorHAnsi"/>
              </w:rPr>
              <w:t xml:space="preserve">IFRS 1: </w:t>
            </w:r>
            <w:hyperlink r:id="rId22" w:history="1">
              <w:r w:rsidRPr="007E1ECF">
                <w:rPr>
                  <w:rStyle w:val="Hyperlink"/>
                  <w:rFonts w:cstheme="minorHAnsi"/>
                </w:rPr>
                <w:t>https://web.archive.org/save/https://www.ifrs.org/content/dam/ifrs/publications/pdf-standards-issb/english/2023/issued/part-a/issb-2023-a-ifrs-s1-general-requirements-for-disclosure-of-sustainability-related-financial-information.pdf?bypass=on</w:t>
              </w:r>
            </w:hyperlink>
            <w:r w:rsidRPr="007E1ECF">
              <w:rPr>
                <w:rFonts w:cstheme="minorHAnsi"/>
              </w:rPr>
              <w:t xml:space="preserve"> </w:t>
            </w:r>
          </w:p>
          <w:p w14:paraId="7478C0BE" w14:textId="2506342A" w:rsidR="00C01AF9" w:rsidRPr="007E1ECF" w:rsidRDefault="007E1ECF" w:rsidP="00982BBA">
            <w:pPr>
              <w:pStyle w:val="ListParagraph"/>
              <w:numPr>
                <w:ilvl w:val="0"/>
                <w:numId w:val="54"/>
              </w:numPr>
              <w:rPr>
                <w:rFonts w:cstheme="minorHAnsi"/>
              </w:rPr>
            </w:pPr>
            <w:r w:rsidRPr="007E1ECF">
              <w:rPr>
                <w:rFonts w:cstheme="minorHAnsi"/>
              </w:rPr>
              <w:lastRenderedPageBreak/>
              <w:t xml:space="preserve">IFRS 2: </w:t>
            </w:r>
            <w:hyperlink r:id="rId23" w:history="1">
              <w:r w:rsidRPr="007E1ECF">
                <w:rPr>
                  <w:rStyle w:val="Hyperlink"/>
                  <w:rFonts w:cstheme="minorHAnsi"/>
                </w:rPr>
                <w:t>https://web.archive.org/save/https://www.ifrs.org/content/dam/ifrs/publications/pdf-standards-issb/english/2023/issued/part-a/issb-2023-a-ifrs-s2-climate-related-disclosures.pdf?bypass=on</w:t>
              </w:r>
            </w:hyperlink>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5529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D42CDB" w14:textId="77777777" w:rsidR="000B21B0" w:rsidRDefault="000B21B0" w:rsidP="00874E39">
      <w:r>
        <w:separator/>
      </w:r>
    </w:p>
  </w:endnote>
  <w:endnote w:type="continuationSeparator" w:id="0">
    <w:p w14:paraId="3605F552" w14:textId="77777777" w:rsidR="000B21B0" w:rsidRDefault="000B21B0" w:rsidP="00874E39">
      <w:r>
        <w:continuationSeparator/>
      </w:r>
    </w:p>
  </w:endnote>
  <w:endnote w:type="continuationNotice" w:id="1">
    <w:p w14:paraId="4743E5F9" w14:textId="77777777" w:rsidR="000B21B0" w:rsidRDefault="000B21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CCCDCC" w14:textId="77777777" w:rsidR="000B21B0" w:rsidRDefault="000B21B0" w:rsidP="00874E39">
      <w:r>
        <w:separator/>
      </w:r>
    </w:p>
  </w:footnote>
  <w:footnote w:type="continuationSeparator" w:id="0">
    <w:p w14:paraId="08920061" w14:textId="77777777" w:rsidR="000B21B0" w:rsidRDefault="000B21B0" w:rsidP="00874E39">
      <w:r>
        <w:continuationSeparator/>
      </w:r>
    </w:p>
  </w:footnote>
  <w:footnote w:type="continuationNotice" w:id="1">
    <w:p w14:paraId="0177C299" w14:textId="77777777" w:rsidR="000B21B0" w:rsidRDefault="000B21B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093DEC"/>
    <w:multiLevelType w:val="hybridMultilevel"/>
    <w:tmpl w:val="B9F2171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7006965"/>
    <w:multiLevelType w:val="hybridMultilevel"/>
    <w:tmpl w:val="AA0C35D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C1F5283"/>
    <w:multiLevelType w:val="hybridMultilevel"/>
    <w:tmpl w:val="58D2E64E"/>
    <w:lvl w:ilvl="0" w:tplc="1F4045CE">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1C472B4"/>
    <w:multiLevelType w:val="hybridMultilevel"/>
    <w:tmpl w:val="DDFA70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92F61FD"/>
    <w:multiLevelType w:val="hybridMultilevel"/>
    <w:tmpl w:val="7FB60268"/>
    <w:lvl w:ilvl="0" w:tplc="4E22C290">
      <w:start w:val="10"/>
      <w:numFmt w:val="bullet"/>
      <w:lvlText w:val="-"/>
      <w:lvlJc w:val="left"/>
      <w:pPr>
        <w:ind w:left="54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B0E18A9"/>
    <w:multiLevelType w:val="hybridMultilevel"/>
    <w:tmpl w:val="6CCAEAE4"/>
    <w:lvl w:ilvl="0" w:tplc="42505CE0">
      <w:start w:val="1"/>
      <w:numFmt w:val="lowerRoman"/>
      <w:lvlText w:val="%1."/>
      <w:lvlJc w:val="left"/>
      <w:pPr>
        <w:ind w:left="180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7"/>
  </w:num>
  <w:num w:numId="3" w16cid:durableId="690952733">
    <w:abstractNumId w:val="47"/>
  </w:num>
  <w:num w:numId="4" w16cid:durableId="1689330127">
    <w:abstractNumId w:val="1"/>
  </w:num>
  <w:num w:numId="5" w16cid:durableId="401291788">
    <w:abstractNumId w:val="33"/>
  </w:num>
  <w:num w:numId="6" w16cid:durableId="1276788690">
    <w:abstractNumId w:val="15"/>
  </w:num>
  <w:num w:numId="7" w16cid:durableId="566767730">
    <w:abstractNumId w:val="24"/>
  </w:num>
  <w:num w:numId="8" w16cid:durableId="1780710843">
    <w:abstractNumId w:val="40"/>
  </w:num>
  <w:num w:numId="9" w16cid:durableId="1685783054">
    <w:abstractNumId w:val="3"/>
  </w:num>
  <w:num w:numId="10" w16cid:durableId="950551298">
    <w:abstractNumId w:val="37"/>
  </w:num>
  <w:num w:numId="11" w16cid:durableId="1591960799">
    <w:abstractNumId w:val="53"/>
  </w:num>
  <w:num w:numId="12" w16cid:durableId="1344891410">
    <w:abstractNumId w:val="10"/>
  </w:num>
  <w:num w:numId="13" w16cid:durableId="2023899324">
    <w:abstractNumId w:val="12"/>
  </w:num>
  <w:num w:numId="14" w16cid:durableId="430587014">
    <w:abstractNumId w:val="8"/>
  </w:num>
  <w:num w:numId="15" w16cid:durableId="1742869061">
    <w:abstractNumId w:val="36"/>
  </w:num>
  <w:num w:numId="16" w16cid:durableId="1996450437">
    <w:abstractNumId w:val="23"/>
  </w:num>
  <w:num w:numId="17" w16cid:durableId="1529031027">
    <w:abstractNumId w:val="9"/>
  </w:num>
  <w:num w:numId="18" w16cid:durableId="568614617">
    <w:abstractNumId w:val="21"/>
  </w:num>
  <w:num w:numId="19" w16cid:durableId="1530605858">
    <w:abstractNumId w:val="48"/>
  </w:num>
  <w:num w:numId="20" w16cid:durableId="1328172586">
    <w:abstractNumId w:val="18"/>
  </w:num>
  <w:num w:numId="21" w16cid:durableId="184827816">
    <w:abstractNumId w:val="31"/>
  </w:num>
  <w:num w:numId="22" w16cid:durableId="1785346599">
    <w:abstractNumId w:val="39"/>
  </w:num>
  <w:num w:numId="23" w16cid:durableId="1294288901">
    <w:abstractNumId w:val="30"/>
  </w:num>
  <w:num w:numId="24" w16cid:durableId="1603957975">
    <w:abstractNumId w:val="50"/>
  </w:num>
  <w:num w:numId="25" w16cid:durableId="1659531047">
    <w:abstractNumId w:val="49"/>
  </w:num>
  <w:num w:numId="26" w16cid:durableId="752774403">
    <w:abstractNumId w:val="26"/>
  </w:num>
  <w:num w:numId="27" w16cid:durableId="347872198">
    <w:abstractNumId w:val="7"/>
  </w:num>
  <w:num w:numId="28" w16cid:durableId="537133110">
    <w:abstractNumId w:val="13"/>
  </w:num>
  <w:num w:numId="29" w16cid:durableId="1632318729">
    <w:abstractNumId w:val="51"/>
  </w:num>
  <w:num w:numId="30" w16cid:durableId="1268124074">
    <w:abstractNumId w:val="38"/>
  </w:num>
  <w:num w:numId="31" w16cid:durableId="887108748">
    <w:abstractNumId w:val="34"/>
  </w:num>
  <w:num w:numId="32" w16cid:durableId="1826125712">
    <w:abstractNumId w:val="41"/>
  </w:num>
  <w:num w:numId="33" w16cid:durableId="823357978">
    <w:abstractNumId w:val="45"/>
  </w:num>
  <w:num w:numId="34" w16cid:durableId="1092120443">
    <w:abstractNumId w:val="44"/>
  </w:num>
  <w:num w:numId="35" w16cid:durableId="124861188">
    <w:abstractNumId w:val="11"/>
  </w:num>
  <w:num w:numId="36" w16cid:durableId="1952588250">
    <w:abstractNumId w:val="43"/>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2"/>
  </w:num>
  <w:num w:numId="42" w16cid:durableId="452208391">
    <w:abstractNumId w:val="16"/>
  </w:num>
  <w:num w:numId="43" w16cid:durableId="260340070">
    <w:abstractNumId w:val="0"/>
  </w:num>
  <w:num w:numId="44" w16cid:durableId="1639914969">
    <w:abstractNumId w:val="6"/>
  </w:num>
  <w:num w:numId="45" w16cid:durableId="1554191892">
    <w:abstractNumId w:val="46"/>
  </w:num>
  <w:num w:numId="46" w16cid:durableId="947811845">
    <w:abstractNumId w:val="52"/>
  </w:num>
  <w:num w:numId="47" w16cid:durableId="342588554">
    <w:abstractNumId w:val="29"/>
  </w:num>
  <w:num w:numId="48" w16cid:durableId="318391343">
    <w:abstractNumId w:val="42"/>
  </w:num>
  <w:num w:numId="49" w16cid:durableId="590166910">
    <w:abstractNumId w:val="17"/>
  </w:num>
  <w:num w:numId="50" w16cid:durableId="1541744804">
    <w:abstractNumId w:val="14"/>
  </w:num>
  <w:num w:numId="51" w16cid:durableId="1672297354">
    <w:abstractNumId w:val="5"/>
  </w:num>
  <w:num w:numId="52" w16cid:durableId="976371062">
    <w:abstractNumId w:val="32"/>
  </w:num>
  <w:num w:numId="53" w16cid:durableId="1319458792">
    <w:abstractNumId w:val="35"/>
  </w:num>
  <w:num w:numId="54" w16cid:durableId="1623266521">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5CF"/>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80D"/>
    <w:rsid w:val="00027241"/>
    <w:rsid w:val="00027314"/>
    <w:rsid w:val="00027BB2"/>
    <w:rsid w:val="00027D03"/>
    <w:rsid w:val="00030C1E"/>
    <w:rsid w:val="000334B6"/>
    <w:rsid w:val="0003453A"/>
    <w:rsid w:val="00034A39"/>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21B0"/>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320"/>
    <w:rsid w:val="001467DD"/>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B1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1017"/>
    <w:rsid w:val="001C239C"/>
    <w:rsid w:val="001C3435"/>
    <w:rsid w:val="001C3966"/>
    <w:rsid w:val="001C4700"/>
    <w:rsid w:val="001C4AA6"/>
    <w:rsid w:val="001C5A18"/>
    <w:rsid w:val="001C5C5D"/>
    <w:rsid w:val="001C614E"/>
    <w:rsid w:val="001C669F"/>
    <w:rsid w:val="001D03D3"/>
    <w:rsid w:val="001D1172"/>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744"/>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3DA"/>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0F9A"/>
    <w:rsid w:val="002E1EE8"/>
    <w:rsid w:val="002E2C07"/>
    <w:rsid w:val="002E41E2"/>
    <w:rsid w:val="002E46B9"/>
    <w:rsid w:val="002E54AE"/>
    <w:rsid w:val="002E5ACB"/>
    <w:rsid w:val="002E6DEC"/>
    <w:rsid w:val="002E7BF5"/>
    <w:rsid w:val="002F0752"/>
    <w:rsid w:val="002F1704"/>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FDF"/>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C2B"/>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52A"/>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E1C"/>
    <w:rsid w:val="004222DF"/>
    <w:rsid w:val="00425FEF"/>
    <w:rsid w:val="00426919"/>
    <w:rsid w:val="00427085"/>
    <w:rsid w:val="00430927"/>
    <w:rsid w:val="00430E44"/>
    <w:rsid w:val="004310E0"/>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6DC"/>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6CE"/>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AE5"/>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29F0"/>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011"/>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3F30"/>
    <w:rsid w:val="005A4E4C"/>
    <w:rsid w:val="005A54A2"/>
    <w:rsid w:val="005A5613"/>
    <w:rsid w:val="005A76C9"/>
    <w:rsid w:val="005B2144"/>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4AF"/>
    <w:rsid w:val="00613C9D"/>
    <w:rsid w:val="00614230"/>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621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0F1"/>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454"/>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11B"/>
    <w:rsid w:val="00750A02"/>
    <w:rsid w:val="00752CD3"/>
    <w:rsid w:val="00753427"/>
    <w:rsid w:val="0075345B"/>
    <w:rsid w:val="0075419A"/>
    <w:rsid w:val="00754C24"/>
    <w:rsid w:val="007557DF"/>
    <w:rsid w:val="0075609B"/>
    <w:rsid w:val="007565A5"/>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3E93"/>
    <w:rsid w:val="007C5200"/>
    <w:rsid w:val="007C6CAD"/>
    <w:rsid w:val="007C77AA"/>
    <w:rsid w:val="007D2359"/>
    <w:rsid w:val="007D33C4"/>
    <w:rsid w:val="007D3472"/>
    <w:rsid w:val="007D366D"/>
    <w:rsid w:val="007D4EBE"/>
    <w:rsid w:val="007D5868"/>
    <w:rsid w:val="007D61F4"/>
    <w:rsid w:val="007D6CAB"/>
    <w:rsid w:val="007E038D"/>
    <w:rsid w:val="007E0819"/>
    <w:rsid w:val="007E08A2"/>
    <w:rsid w:val="007E1ECF"/>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36"/>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57A6"/>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01C"/>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047"/>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178A"/>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AFC"/>
    <w:rsid w:val="00974581"/>
    <w:rsid w:val="009745EE"/>
    <w:rsid w:val="00976106"/>
    <w:rsid w:val="00976B54"/>
    <w:rsid w:val="00977578"/>
    <w:rsid w:val="00977BA5"/>
    <w:rsid w:val="009805DC"/>
    <w:rsid w:val="00981000"/>
    <w:rsid w:val="009818E7"/>
    <w:rsid w:val="00981AD6"/>
    <w:rsid w:val="0098226E"/>
    <w:rsid w:val="00982BBA"/>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894"/>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0F40"/>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D14"/>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37FC3"/>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818"/>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3BE"/>
    <w:rsid w:val="00C13017"/>
    <w:rsid w:val="00C13FBE"/>
    <w:rsid w:val="00C141CA"/>
    <w:rsid w:val="00C149A3"/>
    <w:rsid w:val="00C16C64"/>
    <w:rsid w:val="00C173CD"/>
    <w:rsid w:val="00C20109"/>
    <w:rsid w:val="00C20FC8"/>
    <w:rsid w:val="00C2214C"/>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7E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1DFE"/>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07B6"/>
    <w:rsid w:val="00CD3D23"/>
    <w:rsid w:val="00CD42E0"/>
    <w:rsid w:val="00CD5322"/>
    <w:rsid w:val="00CD5934"/>
    <w:rsid w:val="00CD5F3D"/>
    <w:rsid w:val="00CD61C8"/>
    <w:rsid w:val="00CD6B26"/>
    <w:rsid w:val="00CD6DAC"/>
    <w:rsid w:val="00CE0CAF"/>
    <w:rsid w:val="00CE411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5624"/>
    <w:rsid w:val="00D27551"/>
    <w:rsid w:val="00D275A7"/>
    <w:rsid w:val="00D27824"/>
    <w:rsid w:val="00D3060F"/>
    <w:rsid w:val="00D31B8E"/>
    <w:rsid w:val="00D31FBC"/>
    <w:rsid w:val="00D33DB2"/>
    <w:rsid w:val="00D33DE7"/>
    <w:rsid w:val="00D348BC"/>
    <w:rsid w:val="00D34C6E"/>
    <w:rsid w:val="00D405E6"/>
    <w:rsid w:val="00D41626"/>
    <w:rsid w:val="00D43237"/>
    <w:rsid w:val="00D4323A"/>
    <w:rsid w:val="00D43A7B"/>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AE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B85"/>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D8D"/>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B01"/>
    <w:rsid w:val="00EB7D3B"/>
    <w:rsid w:val="00EB7FED"/>
    <w:rsid w:val="00EC0583"/>
    <w:rsid w:val="00EC0612"/>
    <w:rsid w:val="00EC079D"/>
    <w:rsid w:val="00EC0AB2"/>
    <w:rsid w:val="00EC24B4"/>
    <w:rsid w:val="00EC2AE7"/>
    <w:rsid w:val="00EC2EDF"/>
    <w:rsid w:val="00EC39F2"/>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1F91"/>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59C4"/>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03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31"/>
    <w:rsid w:val="00FA38D8"/>
    <w:rsid w:val="00FA4B8D"/>
    <w:rsid w:val="00FA6DED"/>
    <w:rsid w:val="00FA76DF"/>
    <w:rsid w:val="00FA78EA"/>
    <w:rsid w:val="00FB5A70"/>
    <w:rsid w:val="00FC0689"/>
    <w:rsid w:val="00FC13F0"/>
    <w:rsid w:val="00FC337B"/>
    <w:rsid w:val="00FC5AA7"/>
    <w:rsid w:val="00FC6E48"/>
    <w:rsid w:val="00FC766B"/>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save/https://www.ngfs.net/system/files/2025-01/NGFS%20Climate%20Scenarios%20Technical%20Documentation.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save/https://www.bnr.rw/documents/Regulatory_framework_-_A_document_of_guidelines.pdf"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save/https://www.ifrs.org/content/dam/ifrs/publications/pdf-standards-issb/english/2023/issued/part-a/issb-2023-a-ifrs-s2-climate-related-disclosures.pdf?bypass=on" TargetMode="External"/><Relationship Id="rId10" Type="http://schemas.openxmlformats.org/officeDocument/2006/relationships/endnotes" Target="endnotes.xml"/><Relationship Id="rId19" Type="http://schemas.openxmlformats.org/officeDocument/2006/relationships/hyperlink" Target="https://web.archive.org/save/https://www.ngfs.net/system/files/2025-01/NGFS%20Climate%20Scenarios%20Technical%20Documentation.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save/https://www.ifrs.org/content/dam/ifrs/publications/pdf-standards-issb/english/2023/issued/part-a/issb-2023-a-ifrs-s1-general-requirements-for-disclosure-of-sustainability-related-financial-information.pdf?bypass=o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115</Pages>
  <Words>24986</Words>
  <Characters>142426</Characters>
  <Application>Microsoft Office Word</Application>
  <DocSecurity>4</DocSecurity>
  <Lines>1186</Lines>
  <Paragraphs>334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167078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ENS | Rwanda</cp:lastModifiedBy>
  <cp:revision>2</cp:revision>
  <cp:lastPrinted>2025-03-21T00:14:00Z</cp:lastPrinted>
  <dcterms:created xsi:type="dcterms:W3CDTF">2025-07-17T14:11:00Z</dcterms:created>
  <dcterms:modified xsi:type="dcterms:W3CDTF">2025-07-17T14:11:00Z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